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F0" w:rsidRPr="00B20D68" w:rsidRDefault="009B4DF0" w:rsidP="009B4DF0">
      <w:pPr>
        <w:autoSpaceDE w:val="0"/>
        <w:autoSpaceDN w:val="0"/>
        <w:adjustRightInd w:val="0"/>
        <w:jc w:val="center"/>
        <w:rPr>
          <w:b/>
          <w:bCs/>
          <w:sz w:val="24"/>
          <w:szCs w:val="24"/>
        </w:rPr>
      </w:pPr>
      <w:r w:rsidRPr="00B20D68">
        <w:rPr>
          <w:b/>
          <w:bCs/>
          <w:sz w:val="24"/>
          <w:szCs w:val="24"/>
        </w:rPr>
        <w:t xml:space="preserve">MODELLO </w:t>
      </w:r>
      <w:r w:rsidR="00B20D68" w:rsidRPr="00B20D68">
        <w:rPr>
          <w:b/>
          <w:bCs/>
          <w:sz w:val="24"/>
          <w:szCs w:val="24"/>
        </w:rPr>
        <w:t>B</w:t>
      </w:r>
    </w:p>
    <w:p w:rsidR="009B4DF0" w:rsidRPr="00B20D68" w:rsidRDefault="009B4DF0" w:rsidP="007C627C">
      <w:pPr>
        <w:jc w:val="center"/>
        <w:rPr>
          <w:b/>
          <w:sz w:val="24"/>
          <w:szCs w:val="24"/>
        </w:rPr>
      </w:pPr>
    </w:p>
    <w:p w:rsidR="009B4DF0" w:rsidRPr="00B20D68" w:rsidRDefault="009B4DF0" w:rsidP="007C627C">
      <w:pPr>
        <w:jc w:val="center"/>
        <w:rPr>
          <w:b/>
          <w:sz w:val="24"/>
          <w:szCs w:val="24"/>
        </w:rPr>
      </w:pPr>
    </w:p>
    <w:p w:rsidR="00B20D68" w:rsidRPr="00B20D68" w:rsidRDefault="00B20D68" w:rsidP="00B20D68">
      <w:pPr>
        <w:ind w:left="1418" w:hanging="1418"/>
        <w:jc w:val="both"/>
        <w:rPr>
          <w:bCs/>
          <w:sz w:val="24"/>
          <w:szCs w:val="24"/>
        </w:rPr>
      </w:pPr>
      <w:r w:rsidRPr="00B20D68">
        <w:rPr>
          <w:b/>
          <w:bCs/>
          <w:sz w:val="24"/>
          <w:szCs w:val="24"/>
        </w:rPr>
        <w:t xml:space="preserve">OGGETTO: </w:t>
      </w:r>
      <w:r w:rsidRPr="00B20D68">
        <w:rPr>
          <w:b/>
          <w:sz w:val="24"/>
          <w:szCs w:val="24"/>
        </w:rPr>
        <w:t>Servizio di cassa e servizio di intermediazione tecnica per l’adesione al sistema PAGOPA per l’Università degli Studi del Piemonte Orientale “Amedeo Avogadro” (gara 124-2018).</w:t>
      </w:r>
    </w:p>
    <w:p w:rsidR="00B20D68" w:rsidRPr="00B20D68" w:rsidRDefault="00B20D68" w:rsidP="00B20D68">
      <w:pPr>
        <w:autoSpaceDE w:val="0"/>
        <w:autoSpaceDN w:val="0"/>
        <w:adjustRightInd w:val="0"/>
        <w:spacing w:line="320" w:lineRule="exact"/>
        <w:jc w:val="both"/>
        <w:rPr>
          <w:b/>
          <w:bCs/>
          <w:sz w:val="24"/>
          <w:szCs w:val="24"/>
        </w:rPr>
      </w:pPr>
    </w:p>
    <w:p w:rsidR="00B20D68" w:rsidRPr="00B20D68" w:rsidRDefault="00B20D68" w:rsidP="00B20D68">
      <w:pPr>
        <w:spacing w:after="120" w:line="360" w:lineRule="auto"/>
        <w:jc w:val="both"/>
        <w:rPr>
          <w:sz w:val="24"/>
          <w:szCs w:val="24"/>
        </w:rPr>
      </w:pPr>
      <w:r w:rsidRPr="00B20D68">
        <w:rPr>
          <w:sz w:val="24"/>
          <w:szCs w:val="24"/>
        </w:rPr>
        <w:t xml:space="preserve">Il/La sottoscritto/a __________________________________________________________ nato/a </w:t>
      </w:r>
      <w:proofErr w:type="spellStart"/>
      <w:r w:rsidRPr="00B20D68">
        <w:rPr>
          <w:sz w:val="24"/>
          <w:szCs w:val="24"/>
        </w:rPr>
        <w:t>a</w:t>
      </w:r>
      <w:proofErr w:type="spellEnd"/>
      <w:r w:rsidRPr="00B20D68">
        <w:rPr>
          <w:sz w:val="24"/>
          <w:szCs w:val="24"/>
        </w:rPr>
        <w:t xml:space="preserve"> ___________________ (______) il ___________, residente a ___________________ (____) in via __________________________________________________________ n. _________,</w:t>
      </w:r>
      <w:r w:rsidRPr="00B20D68">
        <w:rPr>
          <w:sz w:val="24"/>
          <w:szCs w:val="24"/>
        </w:rPr>
        <w:br/>
        <w:t>in qualità di</w:t>
      </w:r>
      <w:r w:rsidRPr="00B20D68">
        <w:rPr>
          <w:sz w:val="24"/>
          <w:szCs w:val="24"/>
          <w:vertAlign w:val="superscript"/>
        </w:rPr>
        <w:footnoteReference w:id="1"/>
      </w:r>
      <w:r w:rsidRPr="00B20D68">
        <w:rPr>
          <w:sz w:val="24"/>
          <w:szCs w:val="24"/>
        </w:rPr>
        <w:t xml:space="preserve"> </w:t>
      </w:r>
      <w:r w:rsidRPr="00B20D68">
        <w:rPr>
          <w:i/>
          <w:sz w:val="24"/>
          <w:szCs w:val="24"/>
        </w:rPr>
        <w:t xml:space="preserve">[legale rappresentante, procuratore speciale; </w:t>
      </w:r>
      <w:proofErr w:type="spellStart"/>
      <w:r w:rsidRPr="00B20D68">
        <w:rPr>
          <w:i/>
          <w:sz w:val="24"/>
          <w:szCs w:val="24"/>
        </w:rPr>
        <w:t>ecc</w:t>
      </w:r>
      <w:proofErr w:type="spellEnd"/>
      <w:r w:rsidRPr="00B20D68">
        <w:rPr>
          <w:i/>
          <w:sz w:val="24"/>
          <w:szCs w:val="24"/>
        </w:rPr>
        <w:t>…]</w:t>
      </w:r>
      <w:r w:rsidRPr="00B20D68">
        <w:rPr>
          <w:sz w:val="24"/>
          <w:szCs w:val="24"/>
        </w:rPr>
        <w:t xml:space="preserve"> ______________________________</w:t>
      </w:r>
      <w:r w:rsidRPr="00B20D68">
        <w:rPr>
          <w:i/>
          <w:sz w:val="24"/>
          <w:szCs w:val="24"/>
        </w:rPr>
        <w:t xml:space="preserve"> </w:t>
      </w:r>
      <w:r w:rsidRPr="00B20D68">
        <w:rPr>
          <w:sz w:val="24"/>
          <w:szCs w:val="24"/>
        </w:rPr>
        <w:t xml:space="preserve">della ditta/Società ___________________________, con sede legale in ____________, CAP____________ via ________________________n.______,tel._______________________,fax____________________  con sede amministrativa </w:t>
      </w:r>
      <w:r w:rsidRPr="00B20D68">
        <w:rPr>
          <w:i/>
          <w:sz w:val="24"/>
          <w:szCs w:val="24"/>
        </w:rPr>
        <w:t>[se diversa da quella legale]</w:t>
      </w:r>
      <w:r w:rsidRPr="00B20D68">
        <w:rPr>
          <w:sz w:val="24"/>
          <w:szCs w:val="24"/>
        </w:rPr>
        <w:t xml:space="preserve"> in _________________ (____) CAP__________Via_________________________________</w:t>
      </w:r>
      <w:r>
        <w:rPr>
          <w:sz w:val="24"/>
          <w:szCs w:val="24"/>
        </w:rPr>
        <w:t>_____________________n._______</w:t>
      </w:r>
      <w:r w:rsidRPr="00B20D68">
        <w:rPr>
          <w:sz w:val="24"/>
          <w:szCs w:val="24"/>
        </w:rPr>
        <w:br/>
        <w:t xml:space="preserve">codice REA ____________, codice fiscale ____________ e P. IVA ________________________, </w:t>
      </w:r>
    </w:p>
    <w:p w:rsidR="009B4DF0" w:rsidRPr="00B20D68" w:rsidRDefault="00B20D68" w:rsidP="007C627C">
      <w:pPr>
        <w:jc w:val="center"/>
        <w:rPr>
          <w:b/>
          <w:sz w:val="24"/>
          <w:szCs w:val="24"/>
        </w:rPr>
      </w:pPr>
      <w:r w:rsidRPr="00B20D68">
        <w:rPr>
          <w:b/>
          <w:sz w:val="24"/>
          <w:szCs w:val="24"/>
        </w:rPr>
        <w:t>DICHIARA</w:t>
      </w:r>
    </w:p>
    <w:p w:rsidR="009B4DF0" w:rsidRPr="00B20D68" w:rsidRDefault="009B4DF0" w:rsidP="007C627C">
      <w:pPr>
        <w:jc w:val="center"/>
        <w:rPr>
          <w:b/>
          <w:sz w:val="24"/>
          <w:szCs w:val="24"/>
        </w:rPr>
      </w:pPr>
    </w:p>
    <w:p w:rsidR="007C627C" w:rsidRPr="00B20D68" w:rsidRDefault="00B20D68" w:rsidP="00B20D68">
      <w:pPr>
        <w:jc w:val="both"/>
        <w:rPr>
          <w:sz w:val="24"/>
          <w:szCs w:val="24"/>
        </w:rPr>
      </w:pPr>
      <w:r w:rsidRPr="00B20D68">
        <w:rPr>
          <w:color w:val="000000"/>
          <w:sz w:val="24"/>
          <w:szCs w:val="24"/>
        </w:rPr>
        <w:t>di aver preso esatta cognizione</w:t>
      </w:r>
      <w:r w:rsidRPr="00B20D68">
        <w:rPr>
          <w:sz w:val="24"/>
          <w:szCs w:val="24"/>
        </w:rPr>
        <w:t xml:space="preserve"> </w:t>
      </w:r>
      <w:r w:rsidR="007C627C" w:rsidRPr="00B20D68">
        <w:rPr>
          <w:sz w:val="24"/>
          <w:szCs w:val="24"/>
        </w:rPr>
        <w:t>che i requisiti generali e fu</w:t>
      </w:r>
      <w:r w:rsidR="00C25542">
        <w:rPr>
          <w:sz w:val="24"/>
          <w:szCs w:val="24"/>
        </w:rPr>
        <w:t xml:space="preserve">nzionali indicati nel presente </w:t>
      </w:r>
      <w:bookmarkStart w:id="0" w:name="_GoBack"/>
      <w:bookmarkEnd w:id="0"/>
      <w:r>
        <w:rPr>
          <w:sz w:val="24"/>
          <w:szCs w:val="24"/>
        </w:rPr>
        <w:t xml:space="preserve">modello </w:t>
      </w:r>
      <w:r w:rsidR="007C627C" w:rsidRPr="00B20D68">
        <w:rPr>
          <w:sz w:val="24"/>
          <w:szCs w:val="24"/>
        </w:rPr>
        <w:t>devono essere</w:t>
      </w:r>
      <w:r w:rsidR="00A25C75" w:rsidRPr="00B20D68">
        <w:rPr>
          <w:sz w:val="24"/>
          <w:szCs w:val="24"/>
        </w:rPr>
        <w:t xml:space="preserve"> </w:t>
      </w:r>
      <w:r w:rsidR="007C627C" w:rsidRPr="00B20D68">
        <w:rPr>
          <w:sz w:val="24"/>
          <w:szCs w:val="24"/>
        </w:rPr>
        <w:t>garantiti dall’applicativo e costituiscono aspetti vincolanti e imprescindibili.</w:t>
      </w:r>
    </w:p>
    <w:p w:rsidR="00B20D68" w:rsidRPr="00B20D68" w:rsidRDefault="00B20D68" w:rsidP="00B20D68">
      <w:pPr>
        <w:rPr>
          <w:sz w:val="24"/>
          <w:szCs w:val="24"/>
        </w:rPr>
      </w:pPr>
    </w:p>
    <w:p w:rsidR="00B20D68" w:rsidRPr="00B20D68" w:rsidRDefault="00B20D68" w:rsidP="00B20D68">
      <w:pPr>
        <w:jc w:val="center"/>
        <w:rPr>
          <w:b/>
          <w:sz w:val="24"/>
          <w:szCs w:val="24"/>
        </w:rPr>
      </w:pPr>
      <w:r w:rsidRPr="00B20D68">
        <w:rPr>
          <w:b/>
          <w:sz w:val="24"/>
          <w:szCs w:val="24"/>
        </w:rPr>
        <w:t>DICHIARA INOLTRE</w:t>
      </w:r>
    </w:p>
    <w:p w:rsidR="007C627C" w:rsidRPr="00B20D68" w:rsidRDefault="00A25C75" w:rsidP="009F192C">
      <w:pPr>
        <w:jc w:val="both"/>
        <w:rPr>
          <w:sz w:val="24"/>
          <w:szCs w:val="24"/>
        </w:rPr>
      </w:pPr>
      <w:r w:rsidRPr="00B20D68">
        <w:rPr>
          <w:sz w:val="24"/>
          <w:szCs w:val="24"/>
        </w:rPr>
        <w:t xml:space="preserve">di accettare le condizioni previste dal capitolato tecnico di gara, e in particolare dichiara di </w:t>
      </w:r>
      <w:r w:rsidR="00CB2EA3" w:rsidRPr="00B20D68">
        <w:rPr>
          <w:sz w:val="24"/>
          <w:szCs w:val="24"/>
        </w:rPr>
        <w:t xml:space="preserve">rispettare </w:t>
      </w:r>
      <w:r w:rsidRPr="00B20D68">
        <w:rPr>
          <w:sz w:val="24"/>
          <w:szCs w:val="24"/>
        </w:rPr>
        <w:t>le seguenti condizioni:</w:t>
      </w:r>
    </w:p>
    <w:p w:rsidR="00B20D68" w:rsidRDefault="00B20D68" w:rsidP="009F192C">
      <w:pPr>
        <w:jc w:val="both"/>
      </w:pPr>
    </w:p>
    <w:tbl>
      <w:tblPr>
        <w:tblStyle w:val="Grigliatabella"/>
        <w:tblW w:w="9356" w:type="dxa"/>
        <w:tblInd w:w="-5" w:type="dxa"/>
        <w:tblLayout w:type="fixed"/>
        <w:tblLook w:val="04A0" w:firstRow="1" w:lastRow="0" w:firstColumn="1" w:lastColumn="0" w:noHBand="0" w:noVBand="1"/>
      </w:tblPr>
      <w:tblGrid>
        <w:gridCol w:w="426"/>
        <w:gridCol w:w="6237"/>
        <w:gridCol w:w="1417"/>
        <w:gridCol w:w="709"/>
        <w:gridCol w:w="567"/>
      </w:tblGrid>
      <w:tr w:rsidR="00110345" w:rsidRPr="00110345" w:rsidTr="00E00674">
        <w:tc>
          <w:tcPr>
            <w:tcW w:w="426" w:type="dxa"/>
          </w:tcPr>
          <w:p w:rsidR="00E00674" w:rsidRPr="00110345" w:rsidRDefault="00E00674" w:rsidP="007C627C"/>
        </w:tc>
        <w:tc>
          <w:tcPr>
            <w:tcW w:w="6237" w:type="dxa"/>
          </w:tcPr>
          <w:p w:rsidR="00E00674" w:rsidRPr="00110345" w:rsidRDefault="00E00674" w:rsidP="007C627C"/>
        </w:tc>
        <w:tc>
          <w:tcPr>
            <w:tcW w:w="1417" w:type="dxa"/>
          </w:tcPr>
          <w:p w:rsidR="00E00674" w:rsidRPr="00110345" w:rsidRDefault="00B20D68" w:rsidP="007C627C">
            <w:r>
              <w:t>Riferimento Capitolato Tecnico</w:t>
            </w:r>
          </w:p>
        </w:tc>
        <w:tc>
          <w:tcPr>
            <w:tcW w:w="709" w:type="dxa"/>
          </w:tcPr>
          <w:p w:rsidR="00E00674" w:rsidRPr="00110345" w:rsidRDefault="00E00674" w:rsidP="007C627C">
            <w:r w:rsidRPr="00110345">
              <w:t>SI</w:t>
            </w:r>
          </w:p>
        </w:tc>
        <w:tc>
          <w:tcPr>
            <w:tcW w:w="567" w:type="dxa"/>
          </w:tcPr>
          <w:p w:rsidR="00E00674" w:rsidRPr="00110345" w:rsidRDefault="00E00674" w:rsidP="007C627C">
            <w:r w:rsidRPr="00110345">
              <w:t>NO</w:t>
            </w:r>
          </w:p>
        </w:tc>
      </w:tr>
      <w:tr w:rsidR="00110345" w:rsidRPr="00110345" w:rsidTr="00E00674">
        <w:tc>
          <w:tcPr>
            <w:tcW w:w="426" w:type="dxa"/>
          </w:tcPr>
          <w:p w:rsidR="00E00674" w:rsidRPr="00110345" w:rsidRDefault="00110345" w:rsidP="00A0563F">
            <w:r>
              <w:t>1</w:t>
            </w:r>
          </w:p>
        </w:tc>
        <w:tc>
          <w:tcPr>
            <w:tcW w:w="6237" w:type="dxa"/>
          </w:tcPr>
          <w:p w:rsidR="00E00674" w:rsidRPr="00110345" w:rsidRDefault="00047ACB" w:rsidP="00A0563F">
            <w:pPr>
              <w:rPr>
                <w:sz w:val="24"/>
              </w:rPr>
            </w:pPr>
            <w:r w:rsidRPr="00110345">
              <w:rPr>
                <w:sz w:val="24"/>
              </w:rPr>
              <w:t xml:space="preserve">Servizio di cassa adeguato al sistema </w:t>
            </w:r>
            <w:r w:rsidR="002C4245" w:rsidRPr="00110345">
              <w:rPr>
                <w:sz w:val="24"/>
              </w:rPr>
              <w:t xml:space="preserve">SIOPE + </w:t>
            </w:r>
          </w:p>
        </w:tc>
        <w:tc>
          <w:tcPr>
            <w:tcW w:w="1417" w:type="dxa"/>
          </w:tcPr>
          <w:p w:rsidR="00E00674" w:rsidRPr="00110345" w:rsidRDefault="002C4245" w:rsidP="00A0563F">
            <w:r w:rsidRPr="00110345">
              <w:t xml:space="preserve">Art.2 </w:t>
            </w:r>
            <w:proofErr w:type="spellStart"/>
            <w:r w:rsidRPr="00110345">
              <w:t>lett</w:t>
            </w:r>
            <w:proofErr w:type="spellEnd"/>
            <w:r w:rsidRPr="00110345">
              <w:t>. a)</w:t>
            </w:r>
          </w:p>
        </w:tc>
        <w:tc>
          <w:tcPr>
            <w:tcW w:w="709" w:type="dxa"/>
          </w:tcPr>
          <w:p w:rsidR="00E00674" w:rsidRPr="00110345" w:rsidRDefault="00E00674" w:rsidP="00A0563F"/>
        </w:tc>
        <w:tc>
          <w:tcPr>
            <w:tcW w:w="567" w:type="dxa"/>
          </w:tcPr>
          <w:p w:rsidR="00E00674" w:rsidRPr="00110345" w:rsidRDefault="00E00674" w:rsidP="00A0563F"/>
        </w:tc>
      </w:tr>
      <w:tr w:rsidR="00110345" w:rsidRPr="00110345" w:rsidTr="00E00674">
        <w:tc>
          <w:tcPr>
            <w:tcW w:w="426" w:type="dxa"/>
          </w:tcPr>
          <w:p w:rsidR="00E00674" w:rsidRPr="00110345" w:rsidRDefault="00110345" w:rsidP="00E50672">
            <w:pPr>
              <w:autoSpaceDE w:val="0"/>
              <w:autoSpaceDN w:val="0"/>
              <w:adjustRightInd w:val="0"/>
              <w:jc w:val="both"/>
            </w:pPr>
            <w:r>
              <w:t>2</w:t>
            </w:r>
          </w:p>
        </w:tc>
        <w:tc>
          <w:tcPr>
            <w:tcW w:w="6237" w:type="dxa"/>
          </w:tcPr>
          <w:p w:rsidR="00E00674" w:rsidRPr="00110345" w:rsidRDefault="00E00674" w:rsidP="005F5BE4">
            <w:pPr>
              <w:autoSpaceDE w:val="0"/>
              <w:autoSpaceDN w:val="0"/>
              <w:adjustRightInd w:val="0"/>
              <w:jc w:val="both"/>
              <w:rPr>
                <w:sz w:val="24"/>
              </w:rPr>
            </w:pPr>
            <w:r w:rsidRPr="00110345">
              <w:rPr>
                <w:sz w:val="24"/>
              </w:rPr>
              <w:t>Integrazione delle funzionalità di firma digitale dei documenti con la gamma completa  e aggiornata di sistemi di firma di pubblici certificatori accreditati.</w:t>
            </w:r>
          </w:p>
        </w:tc>
        <w:tc>
          <w:tcPr>
            <w:tcW w:w="1417" w:type="dxa"/>
          </w:tcPr>
          <w:p w:rsidR="00E00674" w:rsidRPr="00110345" w:rsidRDefault="00E00674" w:rsidP="00E50672">
            <w:r w:rsidRPr="00110345">
              <w:t xml:space="preserve">Art.2 </w:t>
            </w:r>
            <w:proofErr w:type="spellStart"/>
            <w:r w:rsidRPr="00110345">
              <w:t>lett</w:t>
            </w:r>
            <w:proofErr w:type="spellEnd"/>
            <w:r w:rsidRPr="00110345">
              <w:t xml:space="preserve">. b) </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E50672">
            <w:r>
              <w:t>3</w:t>
            </w:r>
          </w:p>
        </w:tc>
        <w:tc>
          <w:tcPr>
            <w:tcW w:w="6237" w:type="dxa"/>
          </w:tcPr>
          <w:p w:rsidR="00E00674" w:rsidRPr="00110345" w:rsidRDefault="00E00674" w:rsidP="00E50672">
            <w:r w:rsidRPr="00110345">
              <w:rPr>
                <w:sz w:val="24"/>
              </w:rPr>
              <w:t>Gestione firme multiple dei documenti e firme cumulative ed effettuazione controlli di validità e legittimità delle firme.</w:t>
            </w:r>
          </w:p>
        </w:tc>
        <w:tc>
          <w:tcPr>
            <w:tcW w:w="1417" w:type="dxa"/>
          </w:tcPr>
          <w:p w:rsidR="00E00674" w:rsidRPr="00110345" w:rsidRDefault="00E00674" w:rsidP="00E50672">
            <w:r w:rsidRPr="00110345">
              <w:t xml:space="preserve">Art.2 </w:t>
            </w:r>
            <w:proofErr w:type="spellStart"/>
            <w:r w:rsidRPr="00110345">
              <w:t>lett</w:t>
            </w:r>
            <w:proofErr w:type="spellEnd"/>
            <w:r w:rsidRPr="00110345">
              <w:t xml:space="preserve">. c) </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230AD6">
            <w:pPr>
              <w:autoSpaceDE w:val="0"/>
              <w:autoSpaceDN w:val="0"/>
              <w:adjustRightInd w:val="0"/>
              <w:jc w:val="both"/>
            </w:pPr>
            <w:r>
              <w:t>4</w:t>
            </w:r>
          </w:p>
        </w:tc>
        <w:tc>
          <w:tcPr>
            <w:tcW w:w="6237" w:type="dxa"/>
          </w:tcPr>
          <w:p w:rsidR="00E00674" w:rsidRPr="00110345" w:rsidRDefault="00E00674" w:rsidP="002C4245">
            <w:pPr>
              <w:autoSpaceDE w:val="0"/>
              <w:autoSpaceDN w:val="0"/>
              <w:adjustRightInd w:val="0"/>
              <w:jc w:val="both"/>
              <w:rPr>
                <w:sz w:val="24"/>
                <w:highlight w:val="yellow"/>
              </w:rPr>
            </w:pPr>
            <w:r w:rsidRPr="00110345">
              <w:rPr>
                <w:sz w:val="24"/>
              </w:rPr>
              <w:t>Gestione e personalizzazione di policy autorizzative, con livelli di autorizzazione per l'accesso al servizio definibili in relazione alle diverse funzionalità, visibilità dei vari stati dei documenti nei diversi momenti di lavorazione da parte dell’Aggiudicatario</w:t>
            </w:r>
          </w:p>
        </w:tc>
        <w:tc>
          <w:tcPr>
            <w:tcW w:w="1417" w:type="dxa"/>
          </w:tcPr>
          <w:p w:rsidR="00E00674" w:rsidRPr="00110345" w:rsidRDefault="00E00674" w:rsidP="00E50672">
            <w:r w:rsidRPr="00110345">
              <w:t xml:space="preserve">Art.2 </w:t>
            </w:r>
            <w:proofErr w:type="spellStart"/>
            <w:r w:rsidRPr="00110345">
              <w:t>lett</w:t>
            </w:r>
            <w:proofErr w:type="spellEnd"/>
            <w:r w:rsidRPr="00110345">
              <w:t xml:space="preserve">. d) </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E50672">
            <w:pPr>
              <w:jc w:val="both"/>
            </w:pPr>
            <w:r>
              <w:t>5</w:t>
            </w:r>
          </w:p>
        </w:tc>
        <w:tc>
          <w:tcPr>
            <w:tcW w:w="6237" w:type="dxa"/>
          </w:tcPr>
          <w:p w:rsidR="00E00674" w:rsidRPr="00110345" w:rsidRDefault="00E00674" w:rsidP="00A96CB4">
            <w:pPr>
              <w:jc w:val="both"/>
              <w:rPr>
                <w:sz w:val="24"/>
              </w:rPr>
            </w:pPr>
            <w:r w:rsidRPr="00110345">
              <w:rPr>
                <w:sz w:val="24"/>
              </w:rPr>
              <w:t xml:space="preserve">Fornitura dei servizi di interconnessione al Nodo dei Pagamenti con modalità indiretta (utilizzando una porta di dominio </w:t>
            </w:r>
            <w:r w:rsidRPr="00110345">
              <w:rPr>
                <w:sz w:val="24"/>
              </w:rPr>
              <w:lastRenderedPageBreak/>
              <w:t>equivalente per l’accesso a Sistema Pubblico di Connettività – SPC) secondo quanto previsto dalle specifiche attuative emanate dall’</w:t>
            </w:r>
            <w:proofErr w:type="spellStart"/>
            <w:r w:rsidRPr="00110345">
              <w:rPr>
                <w:sz w:val="24"/>
              </w:rPr>
              <w:t>Agid</w:t>
            </w:r>
            <w:proofErr w:type="spellEnd"/>
            <w:r w:rsidRPr="00110345">
              <w:rPr>
                <w:sz w:val="24"/>
              </w:rPr>
              <w:t>.</w:t>
            </w:r>
          </w:p>
        </w:tc>
        <w:tc>
          <w:tcPr>
            <w:tcW w:w="1417" w:type="dxa"/>
          </w:tcPr>
          <w:p w:rsidR="00E00674" w:rsidRPr="00110345" w:rsidRDefault="00E00674" w:rsidP="00E50672">
            <w:r w:rsidRPr="00110345">
              <w:lastRenderedPageBreak/>
              <w:t>Art. 3 punto 1</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6</w:t>
            </w:r>
          </w:p>
        </w:tc>
        <w:tc>
          <w:tcPr>
            <w:tcW w:w="6237" w:type="dxa"/>
          </w:tcPr>
          <w:p w:rsidR="00E00674" w:rsidRPr="00110345" w:rsidRDefault="00E00674" w:rsidP="00047ACB">
            <w:pPr>
              <w:jc w:val="both"/>
              <w:rPr>
                <w:rFonts w:ascii="Arial" w:hAnsi="Arial" w:cs="Arial"/>
                <w:sz w:val="23"/>
                <w:szCs w:val="23"/>
              </w:rPr>
            </w:pPr>
            <w:r w:rsidRPr="00110345">
              <w:rPr>
                <w:sz w:val="24"/>
              </w:rPr>
              <w:t xml:space="preserve">Generazione gli IUV e supporto all’Ateneo, nel processo di adeguamento al Sistema </w:t>
            </w:r>
            <w:proofErr w:type="spellStart"/>
            <w:r w:rsidRPr="00110345">
              <w:rPr>
                <w:sz w:val="24"/>
              </w:rPr>
              <w:t>PagoPa</w:t>
            </w:r>
            <w:proofErr w:type="spellEnd"/>
            <w:r w:rsidRPr="00110345">
              <w:rPr>
                <w:sz w:val="24"/>
              </w:rPr>
              <w:t>.</w:t>
            </w:r>
          </w:p>
        </w:tc>
        <w:tc>
          <w:tcPr>
            <w:tcW w:w="1417" w:type="dxa"/>
          </w:tcPr>
          <w:p w:rsidR="00E00674" w:rsidRPr="00110345" w:rsidRDefault="00E00674" w:rsidP="00E50672">
            <w:r w:rsidRPr="00110345">
              <w:t>Art. 3 punto 2</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7</w:t>
            </w:r>
          </w:p>
        </w:tc>
        <w:tc>
          <w:tcPr>
            <w:tcW w:w="6237" w:type="dxa"/>
          </w:tcPr>
          <w:p w:rsidR="00E00674" w:rsidRPr="00110345" w:rsidRDefault="00E00674" w:rsidP="00A96CB4">
            <w:pPr>
              <w:jc w:val="both"/>
              <w:rPr>
                <w:rFonts w:ascii="Arial" w:hAnsi="Arial" w:cs="Arial"/>
                <w:sz w:val="23"/>
                <w:szCs w:val="23"/>
              </w:rPr>
            </w:pPr>
            <w:r w:rsidRPr="00110345">
              <w:rPr>
                <w:sz w:val="24"/>
              </w:rPr>
              <w:t xml:space="preserve">Attivazione di tutti i modelli di pagamento previsti da </w:t>
            </w:r>
            <w:proofErr w:type="spellStart"/>
            <w:r w:rsidRPr="00110345">
              <w:rPr>
                <w:sz w:val="24"/>
              </w:rPr>
              <w:t>Agid</w:t>
            </w:r>
            <w:proofErr w:type="spellEnd"/>
            <w:r w:rsidRPr="00110345">
              <w:rPr>
                <w:sz w:val="24"/>
              </w:rPr>
              <w:t>.</w:t>
            </w:r>
          </w:p>
        </w:tc>
        <w:tc>
          <w:tcPr>
            <w:tcW w:w="1417" w:type="dxa"/>
          </w:tcPr>
          <w:p w:rsidR="00E00674" w:rsidRPr="00110345" w:rsidRDefault="00E00674" w:rsidP="00E50672">
            <w:r w:rsidRPr="00110345">
              <w:t>Art. 3 punto 3</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A25C75">
            <w:pPr>
              <w:autoSpaceDE w:val="0"/>
              <w:autoSpaceDN w:val="0"/>
              <w:adjustRightInd w:val="0"/>
              <w:jc w:val="both"/>
            </w:pPr>
            <w:r>
              <w:t>8</w:t>
            </w:r>
          </w:p>
        </w:tc>
        <w:tc>
          <w:tcPr>
            <w:tcW w:w="6237" w:type="dxa"/>
          </w:tcPr>
          <w:p w:rsidR="00E00674" w:rsidRPr="00110345" w:rsidRDefault="00E00674" w:rsidP="007343B6">
            <w:pPr>
              <w:autoSpaceDE w:val="0"/>
              <w:autoSpaceDN w:val="0"/>
              <w:adjustRightInd w:val="0"/>
              <w:jc w:val="both"/>
              <w:rPr>
                <w:sz w:val="24"/>
              </w:rPr>
            </w:pPr>
            <w:r w:rsidRPr="00110345">
              <w:rPr>
                <w:sz w:val="24"/>
              </w:rPr>
              <w:t xml:space="preserve">Per ogni provvisorio di entrata relativo agli introiti sull’IBAN del sistema </w:t>
            </w:r>
            <w:proofErr w:type="spellStart"/>
            <w:r w:rsidRPr="00110345">
              <w:rPr>
                <w:sz w:val="24"/>
              </w:rPr>
              <w:t>PagoPa</w:t>
            </w:r>
            <w:proofErr w:type="spellEnd"/>
            <w:r w:rsidRPr="00110345">
              <w:rPr>
                <w:sz w:val="24"/>
              </w:rPr>
              <w:t xml:space="preserve">, </w:t>
            </w:r>
            <w:r w:rsidR="00B92B05" w:rsidRPr="00110345">
              <w:rPr>
                <w:sz w:val="24"/>
              </w:rPr>
              <w:t xml:space="preserve">rendicontazione degli </w:t>
            </w:r>
            <w:proofErr w:type="spellStart"/>
            <w:r w:rsidR="00B92B05" w:rsidRPr="00110345">
              <w:rPr>
                <w:sz w:val="24"/>
              </w:rPr>
              <w:t>Iuv</w:t>
            </w:r>
            <w:proofErr w:type="spellEnd"/>
            <w:r w:rsidR="00B92B05" w:rsidRPr="00110345">
              <w:rPr>
                <w:sz w:val="24"/>
              </w:rPr>
              <w:t xml:space="preserve"> incassati, completa di Codice Boll</w:t>
            </w:r>
            <w:r w:rsidR="007343B6" w:rsidRPr="00110345">
              <w:rPr>
                <w:sz w:val="24"/>
              </w:rPr>
              <w:t>ettino univoco e codice fiscale;</w:t>
            </w:r>
          </w:p>
        </w:tc>
        <w:tc>
          <w:tcPr>
            <w:tcW w:w="1417" w:type="dxa"/>
          </w:tcPr>
          <w:p w:rsidR="00E00674" w:rsidRPr="00110345" w:rsidRDefault="00E00674" w:rsidP="00E50672">
            <w:r w:rsidRPr="00110345">
              <w:t>Art. 3 punto 4</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A25C75">
            <w:pPr>
              <w:autoSpaceDE w:val="0"/>
              <w:autoSpaceDN w:val="0"/>
              <w:adjustRightInd w:val="0"/>
              <w:jc w:val="both"/>
            </w:pPr>
            <w:r>
              <w:t>9</w:t>
            </w:r>
          </w:p>
        </w:tc>
        <w:tc>
          <w:tcPr>
            <w:tcW w:w="6237" w:type="dxa"/>
          </w:tcPr>
          <w:p w:rsidR="00E00674" w:rsidRPr="00110345" w:rsidRDefault="00E00674" w:rsidP="00A25C75">
            <w:pPr>
              <w:autoSpaceDE w:val="0"/>
              <w:autoSpaceDN w:val="0"/>
              <w:adjustRightInd w:val="0"/>
              <w:jc w:val="both"/>
              <w:rPr>
                <w:sz w:val="24"/>
              </w:rPr>
            </w:pPr>
            <w:r w:rsidRPr="00110345">
              <w:rPr>
                <w:sz w:val="24"/>
              </w:rPr>
              <w:t>Garanzia di interfacciamento e scambio di flussi tra i sistemi dell’aggiudicatario e il sistema informativo in uso presso l’Ateneo per la gestione della contabilità (Easy), secondo lo schema illustrato nell’allegato 1.</w:t>
            </w:r>
          </w:p>
        </w:tc>
        <w:tc>
          <w:tcPr>
            <w:tcW w:w="1417" w:type="dxa"/>
          </w:tcPr>
          <w:p w:rsidR="00E00674" w:rsidRPr="00110345" w:rsidRDefault="00E00674" w:rsidP="00E50672">
            <w:r w:rsidRPr="00110345">
              <w:t>Art. 3 punto 5</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E50672">
            <w:pPr>
              <w:autoSpaceDE w:val="0"/>
              <w:autoSpaceDN w:val="0"/>
              <w:adjustRightInd w:val="0"/>
              <w:jc w:val="both"/>
            </w:pPr>
            <w:r>
              <w:t>10</w:t>
            </w:r>
          </w:p>
        </w:tc>
        <w:tc>
          <w:tcPr>
            <w:tcW w:w="6237" w:type="dxa"/>
          </w:tcPr>
          <w:p w:rsidR="00E00674" w:rsidRPr="00110345" w:rsidRDefault="00E00674" w:rsidP="00E50672">
            <w:pPr>
              <w:autoSpaceDE w:val="0"/>
              <w:autoSpaceDN w:val="0"/>
              <w:adjustRightInd w:val="0"/>
              <w:jc w:val="both"/>
              <w:rPr>
                <w:sz w:val="24"/>
              </w:rPr>
            </w:pPr>
            <w:r w:rsidRPr="00110345">
              <w:rPr>
                <w:sz w:val="24"/>
              </w:rPr>
              <w:t xml:space="preserve">Trasmissione automatizzata </w:t>
            </w:r>
            <w:r w:rsidRPr="00110345">
              <w:rPr>
                <w:sz w:val="24"/>
                <w:u w:val="single"/>
              </w:rPr>
              <w:t>in tempo reale</w:t>
            </w:r>
            <w:r w:rsidRPr="00110345">
              <w:rPr>
                <w:sz w:val="24"/>
              </w:rPr>
              <w:t xml:space="preserve"> tramite web service, dal sistema informativo dell’Ateneo (Easy) al sistema dell’Aggiudicatario, dei dati da esporre al Nodo dei Pagamenti, e dal sistema dell’Aggiudicatario al sistema dell’Ateneo, degli Identificativi Univoci di Versamento</w:t>
            </w:r>
          </w:p>
        </w:tc>
        <w:tc>
          <w:tcPr>
            <w:tcW w:w="1417" w:type="dxa"/>
          </w:tcPr>
          <w:p w:rsidR="00E00674" w:rsidRPr="00110345" w:rsidRDefault="00E00674" w:rsidP="00E50672">
            <w:r w:rsidRPr="00110345">
              <w:t xml:space="preserve">Art. 3 punto 5 </w:t>
            </w:r>
            <w:proofErr w:type="spellStart"/>
            <w:r w:rsidRPr="00110345">
              <w:t>lett</w:t>
            </w:r>
            <w:proofErr w:type="spellEnd"/>
            <w:r w:rsidRPr="00110345">
              <w:t xml:space="preserve"> a)</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11</w:t>
            </w:r>
          </w:p>
        </w:tc>
        <w:tc>
          <w:tcPr>
            <w:tcW w:w="6237" w:type="dxa"/>
          </w:tcPr>
          <w:p w:rsidR="00E00674" w:rsidRPr="00110345" w:rsidRDefault="00E00674" w:rsidP="00D42F35">
            <w:pPr>
              <w:jc w:val="both"/>
              <w:rPr>
                <w:sz w:val="24"/>
              </w:rPr>
            </w:pPr>
            <w:r w:rsidRPr="00110345">
              <w:rPr>
                <w:sz w:val="24"/>
              </w:rPr>
              <w:t>Trasmissione automatizzata (es: web service/FTP</w:t>
            </w:r>
            <w:r w:rsidR="000E7442">
              <w:rPr>
                <w:sz w:val="24"/>
              </w:rPr>
              <w:t>) del file di rendicontazione</w:t>
            </w:r>
            <w:r w:rsidR="000E7442" w:rsidRPr="000E7442">
              <w:rPr>
                <w:sz w:val="24"/>
                <w:u w:val="single"/>
              </w:rPr>
              <w:t xml:space="preserve"> </w:t>
            </w:r>
            <w:r w:rsidR="000E7442" w:rsidRPr="0026180D">
              <w:rPr>
                <w:sz w:val="24"/>
                <w:u w:val="single"/>
              </w:rPr>
              <w:t xml:space="preserve">di tutti </w:t>
            </w:r>
            <w:r w:rsidRPr="0026180D">
              <w:rPr>
                <w:sz w:val="24"/>
                <w:u w:val="single"/>
              </w:rPr>
              <w:t>gli IUV</w:t>
            </w:r>
            <w:r w:rsidR="000E7442" w:rsidRPr="0026180D">
              <w:rPr>
                <w:sz w:val="24"/>
                <w:u w:val="single"/>
              </w:rPr>
              <w:t xml:space="preserve"> incassati</w:t>
            </w:r>
            <w:r w:rsidRPr="0026180D">
              <w:rPr>
                <w:sz w:val="24"/>
                <w:u w:val="single"/>
              </w:rPr>
              <w:t>,</w:t>
            </w:r>
            <w:r w:rsidRPr="0026180D">
              <w:rPr>
                <w:sz w:val="24"/>
              </w:rPr>
              <w:t xml:space="preserve"> con</w:t>
            </w:r>
            <w:r w:rsidRPr="00110345">
              <w:rPr>
                <w:sz w:val="24"/>
              </w:rPr>
              <w:t xml:space="preserve"> l’indicazione del numero di Provvisorio di Entrata al quale si riferiscono;</w:t>
            </w:r>
          </w:p>
        </w:tc>
        <w:tc>
          <w:tcPr>
            <w:tcW w:w="1417" w:type="dxa"/>
          </w:tcPr>
          <w:p w:rsidR="00E00674" w:rsidRPr="00110345" w:rsidRDefault="00047ACB" w:rsidP="00E50672">
            <w:r w:rsidRPr="00110345">
              <w:t xml:space="preserve">Art. 3 punto 5 </w:t>
            </w:r>
            <w:proofErr w:type="spellStart"/>
            <w:r w:rsidRPr="00110345">
              <w:t>lett</w:t>
            </w:r>
            <w:proofErr w:type="spellEnd"/>
            <w:r w:rsidRPr="00110345">
              <w:t xml:space="preserve"> b</w:t>
            </w:r>
            <w:r w:rsidR="00E00674" w:rsidRPr="00110345">
              <w:t>)</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12</w:t>
            </w:r>
          </w:p>
        </w:tc>
        <w:tc>
          <w:tcPr>
            <w:tcW w:w="6237" w:type="dxa"/>
          </w:tcPr>
          <w:p w:rsidR="00E00674" w:rsidRPr="00110345" w:rsidRDefault="00E00674" w:rsidP="00D42F35">
            <w:pPr>
              <w:jc w:val="both"/>
              <w:rPr>
                <w:sz w:val="24"/>
              </w:rPr>
            </w:pPr>
            <w:r w:rsidRPr="00110345">
              <w:rPr>
                <w:sz w:val="24"/>
              </w:rPr>
              <w:t xml:space="preserve">Trasmissione  automatizzata </w:t>
            </w:r>
            <w:r w:rsidRPr="00110345">
              <w:rPr>
                <w:sz w:val="24"/>
                <w:u w:val="single"/>
              </w:rPr>
              <w:t>in tempo reale</w:t>
            </w:r>
            <w:r w:rsidRPr="00110345">
              <w:rPr>
                <w:sz w:val="24"/>
              </w:rPr>
              <w:t xml:space="preserve"> degli </w:t>
            </w:r>
            <w:proofErr w:type="spellStart"/>
            <w:r w:rsidRPr="00110345">
              <w:rPr>
                <w:sz w:val="24"/>
              </w:rPr>
              <w:t>Iuv</w:t>
            </w:r>
            <w:proofErr w:type="spellEnd"/>
            <w:r w:rsidRPr="00110345">
              <w:rPr>
                <w:sz w:val="24"/>
              </w:rPr>
              <w:t xml:space="preserve"> annullati dal sistema informativo dell’Ateneo “Easy”</w:t>
            </w:r>
          </w:p>
        </w:tc>
        <w:tc>
          <w:tcPr>
            <w:tcW w:w="1417" w:type="dxa"/>
          </w:tcPr>
          <w:p w:rsidR="00E00674" w:rsidRPr="00110345" w:rsidRDefault="00047ACB" w:rsidP="00E50672">
            <w:r w:rsidRPr="00110345">
              <w:t xml:space="preserve">Art. 3 punto 5 </w:t>
            </w:r>
            <w:proofErr w:type="spellStart"/>
            <w:r w:rsidRPr="00110345">
              <w:t>lett</w:t>
            </w:r>
            <w:proofErr w:type="spellEnd"/>
            <w:r w:rsidRPr="00110345">
              <w:t xml:space="preserve"> c</w:t>
            </w:r>
            <w:r w:rsidR="00E00674" w:rsidRPr="00110345">
              <w:t>)</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4C4DFD">
            <w:pPr>
              <w:autoSpaceDE w:val="0"/>
              <w:autoSpaceDN w:val="0"/>
              <w:adjustRightInd w:val="0"/>
              <w:jc w:val="both"/>
            </w:pPr>
            <w:r>
              <w:t>13</w:t>
            </w:r>
          </w:p>
        </w:tc>
        <w:tc>
          <w:tcPr>
            <w:tcW w:w="6237" w:type="dxa"/>
          </w:tcPr>
          <w:p w:rsidR="00E00674" w:rsidRPr="00110345" w:rsidRDefault="00E00674" w:rsidP="004C4DFD">
            <w:pPr>
              <w:autoSpaceDE w:val="0"/>
              <w:autoSpaceDN w:val="0"/>
              <w:adjustRightInd w:val="0"/>
              <w:jc w:val="both"/>
              <w:rPr>
                <w:sz w:val="24"/>
              </w:rPr>
            </w:pPr>
            <w:r w:rsidRPr="00110345">
              <w:rPr>
                <w:sz w:val="24"/>
              </w:rPr>
              <w:t>Interfacciamento e scambio di flussi tra i sistemi dell’Aggiudicatario e il sistema informativo in uso presso l’Ateneo per la gestione della contribuzione studentesca (Esse3), secondo quanto illustrato negli allegati 1 e 2</w:t>
            </w:r>
          </w:p>
        </w:tc>
        <w:tc>
          <w:tcPr>
            <w:tcW w:w="1417" w:type="dxa"/>
          </w:tcPr>
          <w:p w:rsidR="00E00674" w:rsidRPr="00110345" w:rsidRDefault="00E00674" w:rsidP="00866933">
            <w:r w:rsidRPr="00110345">
              <w:t xml:space="preserve">Art. 3 punto 6 </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14</w:t>
            </w:r>
          </w:p>
        </w:tc>
        <w:tc>
          <w:tcPr>
            <w:tcW w:w="6237" w:type="dxa"/>
          </w:tcPr>
          <w:p w:rsidR="00E00674" w:rsidRPr="00D42F35" w:rsidRDefault="00E00674" w:rsidP="00D42F35">
            <w:pPr>
              <w:jc w:val="both"/>
              <w:rPr>
                <w:rFonts w:ascii="Arial" w:hAnsi="Arial" w:cs="Arial"/>
                <w:sz w:val="23"/>
                <w:szCs w:val="23"/>
              </w:rPr>
            </w:pPr>
            <w:r w:rsidRPr="00110345">
              <w:rPr>
                <w:sz w:val="24"/>
              </w:rPr>
              <w:t xml:space="preserve">Trasmissione automatizzata in tempo reale dal sistema informativo dell’Ateneo (Esse3) al sistema dell’Aggiudicatario dei dati da esporre al Nodo dei Pagamenti, e dal sistema dell’Aggiudicatario al sistema dell’Ateneo degli Identificativi Univoci di Versamento della contribuzione studentesca; </w:t>
            </w:r>
          </w:p>
        </w:tc>
        <w:tc>
          <w:tcPr>
            <w:tcW w:w="1417" w:type="dxa"/>
          </w:tcPr>
          <w:p w:rsidR="00E00674" w:rsidRPr="00110345" w:rsidRDefault="00E00674" w:rsidP="00E50672">
            <w:r w:rsidRPr="00110345">
              <w:t xml:space="preserve">Art. 3 punto 6 </w:t>
            </w:r>
            <w:proofErr w:type="spellStart"/>
            <w:r w:rsidRPr="00110345">
              <w:t>lett</w:t>
            </w:r>
            <w:proofErr w:type="spellEnd"/>
            <w:r w:rsidRPr="00110345">
              <w:t xml:space="preserve"> a)</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15</w:t>
            </w:r>
          </w:p>
        </w:tc>
        <w:tc>
          <w:tcPr>
            <w:tcW w:w="6237" w:type="dxa"/>
          </w:tcPr>
          <w:p w:rsidR="00E00674" w:rsidRPr="00D42F35" w:rsidRDefault="00E00674" w:rsidP="00D42F35">
            <w:pPr>
              <w:jc w:val="both"/>
              <w:rPr>
                <w:rFonts w:ascii="Arial" w:hAnsi="Arial" w:cs="Arial"/>
                <w:sz w:val="23"/>
                <w:szCs w:val="23"/>
              </w:rPr>
            </w:pPr>
            <w:r w:rsidRPr="00110345">
              <w:rPr>
                <w:sz w:val="24"/>
              </w:rPr>
              <w:t>Trasmissione automatizzata dal sistema informativo dell’Aggiudicatario  al sistema informativo dell’Ateneo (Esse3), delle rendicontazioni relative agli Identificativi Univoci di Versamento della contribuzione studentesca.</w:t>
            </w:r>
          </w:p>
        </w:tc>
        <w:tc>
          <w:tcPr>
            <w:tcW w:w="1417" w:type="dxa"/>
          </w:tcPr>
          <w:p w:rsidR="00E00674" w:rsidRPr="00110345" w:rsidRDefault="00E00674" w:rsidP="00866933">
            <w:r w:rsidRPr="00110345">
              <w:t xml:space="preserve">Art. 3 punto 6 </w:t>
            </w:r>
            <w:proofErr w:type="spellStart"/>
            <w:r w:rsidRPr="00110345">
              <w:t>lett</w:t>
            </w:r>
            <w:proofErr w:type="spellEnd"/>
            <w:r w:rsidRPr="00110345">
              <w:t xml:space="preserve"> b)</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16</w:t>
            </w:r>
          </w:p>
        </w:tc>
        <w:tc>
          <w:tcPr>
            <w:tcW w:w="6237" w:type="dxa"/>
          </w:tcPr>
          <w:p w:rsidR="00E00674" w:rsidRPr="00110345" w:rsidRDefault="00E00674" w:rsidP="00453F39">
            <w:pPr>
              <w:jc w:val="both"/>
              <w:rPr>
                <w:sz w:val="24"/>
              </w:rPr>
            </w:pPr>
            <w:r w:rsidRPr="00110345">
              <w:rPr>
                <w:sz w:val="24"/>
              </w:rPr>
              <w:t xml:space="preserve">Trasmissione automatizzata in tempo reale degli </w:t>
            </w:r>
            <w:proofErr w:type="spellStart"/>
            <w:r w:rsidRPr="00110345">
              <w:rPr>
                <w:sz w:val="24"/>
              </w:rPr>
              <w:t>Iuv</w:t>
            </w:r>
            <w:proofErr w:type="spellEnd"/>
            <w:r w:rsidRPr="00110345">
              <w:rPr>
                <w:sz w:val="24"/>
              </w:rPr>
              <w:t xml:space="preserve"> della contribuzione studentesca annullati dal sistema </w:t>
            </w:r>
            <w:proofErr w:type="spellStart"/>
            <w:r w:rsidRPr="00110345">
              <w:rPr>
                <w:sz w:val="24"/>
              </w:rPr>
              <w:t>sistema</w:t>
            </w:r>
            <w:proofErr w:type="spellEnd"/>
            <w:r w:rsidRPr="00110345">
              <w:rPr>
                <w:sz w:val="24"/>
              </w:rPr>
              <w:t xml:space="preserve"> informativo dell’Ateneo Esse3</w:t>
            </w:r>
          </w:p>
        </w:tc>
        <w:tc>
          <w:tcPr>
            <w:tcW w:w="1417" w:type="dxa"/>
          </w:tcPr>
          <w:p w:rsidR="00E00674" w:rsidRPr="00110345" w:rsidRDefault="00E00674" w:rsidP="00866933">
            <w:r w:rsidRPr="00110345">
              <w:t xml:space="preserve">Art. 3 punto 6 </w:t>
            </w:r>
            <w:proofErr w:type="spellStart"/>
            <w:r w:rsidRPr="00110345">
              <w:t>lett</w:t>
            </w:r>
            <w:proofErr w:type="spellEnd"/>
            <w:r w:rsidRPr="00110345">
              <w:t xml:space="preserve"> c)</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17</w:t>
            </w:r>
          </w:p>
        </w:tc>
        <w:tc>
          <w:tcPr>
            <w:tcW w:w="6237" w:type="dxa"/>
          </w:tcPr>
          <w:p w:rsidR="00E00674" w:rsidRPr="00110345" w:rsidRDefault="00E00674" w:rsidP="00866933">
            <w:pPr>
              <w:jc w:val="both"/>
              <w:rPr>
                <w:sz w:val="24"/>
              </w:rPr>
            </w:pPr>
            <w:r w:rsidRPr="00110345">
              <w:rPr>
                <w:sz w:val="24"/>
              </w:rPr>
              <w:t>Interfacciamento e scambio di flussi tra i sistemi dell’Aggiudicatario e eventuali altri sistemi informativi in uso presso l’Ateneo,  secondo lo stesso modello  illustrato ai punti precedenti (Integrazione con i software Easy e Esse3).</w:t>
            </w:r>
          </w:p>
        </w:tc>
        <w:tc>
          <w:tcPr>
            <w:tcW w:w="1417" w:type="dxa"/>
          </w:tcPr>
          <w:p w:rsidR="00E00674" w:rsidRPr="00110345" w:rsidRDefault="00E00674" w:rsidP="00866933">
            <w:r w:rsidRPr="00110345">
              <w:t>Art. 3 punto 7</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18</w:t>
            </w:r>
          </w:p>
        </w:tc>
        <w:tc>
          <w:tcPr>
            <w:tcW w:w="6237" w:type="dxa"/>
          </w:tcPr>
          <w:p w:rsidR="00E00674" w:rsidRPr="00110345" w:rsidRDefault="00E00674" w:rsidP="00A61E2C">
            <w:pPr>
              <w:jc w:val="both"/>
              <w:rPr>
                <w:sz w:val="24"/>
              </w:rPr>
            </w:pPr>
            <w:r w:rsidRPr="00110345">
              <w:rPr>
                <w:sz w:val="24"/>
              </w:rPr>
              <w:t xml:space="preserve">Garantire un servizio di </w:t>
            </w:r>
            <w:proofErr w:type="spellStart"/>
            <w:r w:rsidRPr="00110345">
              <w:rPr>
                <w:sz w:val="24"/>
              </w:rPr>
              <w:t>Hepldesk</w:t>
            </w:r>
            <w:proofErr w:type="spellEnd"/>
            <w:r w:rsidRPr="00110345">
              <w:rPr>
                <w:sz w:val="24"/>
              </w:rPr>
              <w:t xml:space="preserve"> Tecnico, assistenza e manutenzione, con attivazione attraverso contatto web, telefonico, e-mail.</w:t>
            </w:r>
          </w:p>
        </w:tc>
        <w:tc>
          <w:tcPr>
            <w:tcW w:w="1417" w:type="dxa"/>
          </w:tcPr>
          <w:p w:rsidR="00E00674" w:rsidRPr="00110345" w:rsidRDefault="00E00674" w:rsidP="00866933">
            <w:r w:rsidRPr="00110345">
              <w:t>Art. 3 punto 8</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19</w:t>
            </w:r>
          </w:p>
        </w:tc>
        <w:tc>
          <w:tcPr>
            <w:tcW w:w="6237" w:type="dxa"/>
          </w:tcPr>
          <w:p w:rsidR="00E00674" w:rsidRPr="00110345" w:rsidRDefault="00E00674" w:rsidP="00866933">
            <w:pPr>
              <w:jc w:val="both"/>
              <w:rPr>
                <w:sz w:val="24"/>
              </w:rPr>
            </w:pPr>
            <w:r w:rsidRPr="00110345">
              <w:rPr>
                <w:sz w:val="24"/>
              </w:rPr>
              <w:t>Tracciamento delle richieste di assistenza e manutenzione per fornire informazioni sullo stato di avanzamento e per rendere disponibili dati di controllo.</w:t>
            </w:r>
          </w:p>
        </w:tc>
        <w:tc>
          <w:tcPr>
            <w:tcW w:w="1417" w:type="dxa"/>
          </w:tcPr>
          <w:p w:rsidR="00E00674" w:rsidRPr="00110345" w:rsidRDefault="00E00674" w:rsidP="00866933">
            <w:r w:rsidRPr="00110345">
              <w:t>Art. 3 punto 8</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20</w:t>
            </w:r>
          </w:p>
        </w:tc>
        <w:tc>
          <w:tcPr>
            <w:tcW w:w="6237" w:type="dxa"/>
          </w:tcPr>
          <w:p w:rsidR="00E00674" w:rsidRPr="00110345" w:rsidRDefault="00E00674" w:rsidP="00866933">
            <w:pPr>
              <w:jc w:val="both"/>
              <w:rPr>
                <w:sz w:val="24"/>
              </w:rPr>
            </w:pPr>
            <w:r w:rsidRPr="00110345">
              <w:rPr>
                <w:sz w:val="24"/>
              </w:rPr>
              <w:t xml:space="preserve">Notifica agli utenti interessati della chiusura della richiesta, tenendo traccia delle modalità di risoluzione adottate, in modo </w:t>
            </w:r>
            <w:r w:rsidRPr="00110345">
              <w:rPr>
                <w:sz w:val="24"/>
              </w:rPr>
              <w:lastRenderedPageBreak/>
              <w:t>da avere disponibile un archivio storico da cui attingere informazioni sulle modalità, funzioni coinvolte e tempi di risoluzione.</w:t>
            </w:r>
          </w:p>
        </w:tc>
        <w:tc>
          <w:tcPr>
            <w:tcW w:w="1417" w:type="dxa"/>
          </w:tcPr>
          <w:p w:rsidR="00E00674" w:rsidRPr="00110345" w:rsidRDefault="00E00674" w:rsidP="00866933">
            <w:r w:rsidRPr="00110345">
              <w:lastRenderedPageBreak/>
              <w:t>Art. 3 punto 8</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866933">
            <w:pPr>
              <w:jc w:val="both"/>
            </w:pPr>
            <w:r>
              <w:t>21</w:t>
            </w:r>
          </w:p>
        </w:tc>
        <w:tc>
          <w:tcPr>
            <w:tcW w:w="6237" w:type="dxa"/>
          </w:tcPr>
          <w:p w:rsidR="00E00674" w:rsidRPr="00110345" w:rsidRDefault="00E00674" w:rsidP="00866933">
            <w:pPr>
              <w:jc w:val="both"/>
              <w:rPr>
                <w:sz w:val="24"/>
              </w:rPr>
            </w:pPr>
            <w:r w:rsidRPr="00110345">
              <w:rPr>
                <w:sz w:val="24"/>
              </w:rPr>
              <w:t>Disponibilità del servizio di Help Desk dalle ore 9.00 alle 16.00, dal lunedì al venerdì, esclusi giorni festivi.</w:t>
            </w:r>
          </w:p>
        </w:tc>
        <w:tc>
          <w:tcPr>
            <w:tcW w:w="1417" w:type="dxa"/>
          </w:tcPr>
          <w:p w:rsidR="00E00674" w:rsidRPr="00110345" w:rsidRDefault="00E00674" w:rsidP="00866933">
            <w:r w:rsidRPr="00110345">
              <w:t>Art. 3 punto 8</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4C4DFD">
            <w:pPr>
              <w:jc w:val="both"/>
            </w:pPr>
            <w:r>
              <w:t>22</w:t>
            </w:r>
          </w:p>
        </w:tc>
        <w:tc>
          <w:tcPr>
            <w:tcW w:w="6237" w:type="dxa"/>
          </w:tcPr>
          <w:p w:rsidR="00E00674" w:rsidRPr="00110345" w:rsidRDefault="00E00674" w:rsidP="004C4DFD">
            <w:pPr>
              <w:jc w:val="both"/>
              <w:rPr>
                <w:sz w:val="24"/>
              </w:rPr>
            </w:pPr>
            <w:r w:rsidRPr="00110345">
              <w:rPr>
                <w:sz w:val="24"/>
              </w:rPr>
              <w:t>Esecuzione dei pagamenti mediante ordinativi di pagamento,  ruoli di spesa fissa, domiciliazione di bollette.</w:t>
            </w:r>
          </w:p>
        </w:tc>
        <w:tc>
          <w:tcPr>
            <w:tcW w:w="1417" w:type="dxa"/>
          </w:tcPr>
          <w:p w:rsidR="00E00674" w:rsidRPr="00110345" w:rsidRDefault="00E00674" w:rsidP="00866933">
            <w:r w:rsidRPr="00110345">
              <w:t>Art. 5</w:t>
            </w:r>
          </w:p>
        </w:tc>
        <w:tc>
          <w:tcPr>
            <w:tcW w:w="709" w:type="dxa"/>
          </w:tcPr>
          <w:p w:rsidR="00E00674" w:rsidRPr="00110345" w:rsidRDefault="00E00674" w:rsidP="00E50672"/>
        </w:tc>
        <w:tc>
          <w:tcPr>
            <w:tcW w:w="567" w:type="dxa"/>
          </w:tcPr>
          <w:p w:rsidR="00E00674" w:rsidRPr="00110345" w:rsidRDefault="00E00674" w:rsidP="00E50672"/>
        </w:tc>
      </w:tr>
      <w:tr w:rsidR="00110345" w:rsidRPr="00110345" w:rsidTr="00E00674">
        <w:tc>
          <w:tcPr>
            <w:tcW w:w="426" w:type="dxa"/>
          </w:tcPr>
          <w:p w:rsidR="00E00674" w:rsidRPr="00110345" w:rsidRDefault="00110345" w:rsidP="00650F6C">
            <w:pPr>
              <w:tabs>
                <w:tab w:val="num" w:pos="720"/>
              </w:tabs>
              <w:jc w:val="both"/>
            </w:pPr>
            <w:r>
              <w:t>23</w:t>
            </w:r>
          </w:p>
        </w:tc>
        <w:tc>
          <w:tcPr>
            <w:tcW w:w="6237" w:type="dxa"/>
          </w:tcPr>
          <w:p w:rsidR="00E00674" w:rsidRPr="00110345" w:rsidRDefault="00E00674" w:rsidP="00047ACB">
            <w:pPr>
              <w:tabs>
                <w:tab w:val="num" w:pos="720"/>
              </w:tabs>
              <w:jc w:val="both"/>
              <w:rPr>
                <w:sz w:val="24"/>
              </w:rPr>
            </w:pPr>
            <w:r w:rsidRPr="00110345">
              <w:rPr>
                <w:sz w:val="24"/>
              </w:rPr>
              <w:t>Estinzione degli ordinativi di pagamento con accreditamento in conto corrente</w:t>
            </w:r>
            <w:r w:rsidR="00047ACB" w:rsidRPr="00110345">
              <w:rPr>
                <w:sz w:val="24"/>
              </w:rPr>
              <w:t xml:space="preserve"> postale a favore del creditore.</w:t>
            </w:r>
          </w:p>
        </w:tc>
        <w:tc>
          <w:tcPr>
            <w:tcW w:w="1417" w:type="dxa"/>
          </w:tcPr>
          <w:p w:rsidR="00E00674" w:rsidRPr="00110345" w:rsidRDefault="00E00674" w:rsidP="00650F6C">
            <w:r w:rsidRPr="00110345">
              <w:t>Art. 5</w:t>
            </w:r>
          </w:p>
        </w:tc>
        <w:tc>
          <w:tcPr>
            <w:tcW w:w="709" w:type="dxa"/>
          </w:tcPr>
          <w:p w:rsidR="00E00674" w:rsidRPr="00110345" w:rsidRDefault="00E00674" w:rsidP="00650F6C"/>
        </w:tc>
        <w:tc>
          <w:tcPr>
            <w:tcW w:w="567" w:type="dxa"/>
          </w:tcPr>
          <w:p w:rsidR="00E00674" w:rsidRPr="00110345" w:rsidRDefault="00E00674" w:rsidP="00650F6C"/>
        </w:tc>
      </w:tr>
      <w:tr w:rsidR="00110345" w:rsidRPr="00110345" w:rsidTr="00E00674">
        <w:tc>
          <w:tcPr>
            <w:tcW w:w="426" w:type="dxa"/>
          </w:tcPr>
          <w:p w:rsidR="00E00674" w:rsidRPr="00110345" w:rsidRDefault="00110345" w:rsidP="00650F6C">
            <w:pPr>
              <w:jc w:val="both"/>
            </w:pPr>
            <w:r>
              <w:t>24</w:t>
            </w:r>
          </w:p>
        </w:tc>
        <w:tc>
          <w:tcPr>
            <w:tcW w:w="6237" w:type="dxa"/>
          </w:tcPr>
          <w:p w:rsidR="00E00674" w:rsidRPr="00110345" w:rsidRDefault="00E00674" w:rsidP="00FE4404">
            <w:pPr>
              <w:jc w:val="both"/>
              <w:rPr>
                <w:sz w:val="24"/>
              </w:rPr>
            </w:pPr>
            <w:r w:rsidRPr="00110345">
              <w:rPr>
                <w:sz w:val="24"/>
              </w:rPr>
              <w:t>Estinzione degli ordinativi di pagamento con commutazione in assegno circolare non trasferibile all’ordine del creditore, da spedire a cura dell’Aggiudicat</w:t>
            </w:r>
            <w:r w:rsidR="00FE4404">
              <w:rPr>
                <w:sz w:val="24"/>
              </w:rPr>
              <w:t>ario all’indirizzo del medesimo</w:t>
            </w:r>
            <w:r w:rsidRPr="00110345">
              <w:rPr>
                <w:sz w:val="24"/>
              </w:rPr>
              <w:t>.</w:t>
            </w:r>
          </w:p>
        </w:tc>
        <w:tc>
          <w:tcPr>
            <w:tcW w:w="1417" w:type="dxa"/>
          </w:tcPr>
          <w:p w:rsidR="00E00674" w:rsidRPr="00110345" w:rsidRDefault="00E00674" w:rsidP="00650F6C">
            <w:r w:rsidRPr="00110345">
              <w:t>Art. 5</w:t>
            </w:r>
          </w:p>
        </w:tc>
        <w:tc>
          <w:tcPr>
            <w:tcW w:w="709" w:type="dxa"/>
          </w:tcPr>
          <w:p w:rsidR="00E00674" w:rsidRPr="00110345" w:rsidRDefault="00E00674" w:rsidP="00650F6C"/>
        </w:tc>
        <w:tc>
          <w:tcPr>
            <w:tcW w:w="567" w:type="dxa"/>
          </w:tcPr>
          <w:p w:rsidR="00E00674" w:rsidRPr="00110345" w:rsidRDefault="00E00674" w:rsidP="00650F6C"/>
        </w:tc>
      </w:tr>
      <w:tr w:rsidR="00110345" w:rsidRPr="00110345" w:rsidTr="00E00674">
        <w:tc>
          <w:tcPr>
            <w:tcW w:w="426" w:type="dxa"/>
          </w:tcPr>
          <w:p w:rsidR="00E00674" w:rsidRPr="00110345" w:rsidRDefault="00110345" w:rsidP="00650F6C">
            <w:pPr>
              <w:jc w:val="both"/>
            </w:pPr>
            <w:r>
              <w:t>25</w:t>
            </w:r>
          </w:p>
        </w:tc>
        <w:tc>
          <w:tcPr>
            <w:tcW w:w="6237" w:type="dxa"/>
          </w:tcPr>
          <w:p w:rsidR="00E00674" w:rsidRPr="00110345" w:rsidRDefault="00E00674" w:rsidP="00650F6C">
            <w:pPr>
              <w:jc w:val="both"/>
              <w:rPr>
                <w:sz w:val="24"/>
              </w:rPr>
            </w:pPr>
            <w:r w:rsidRPr="00110345">
              <w:rPr>
                <w:sz w:val="24"/>
              </w:rPr>
              <w:t>Estinzione degli ordinativi di pagamento con accreditamento in conto corrente bancario intestato al creditore.</w:t>
            </w:r>
          </w:p>
        </w:tc>
        <w:tc>
          <w:tcPr>
            <w:tcW w:w="1417" w:type="dxa"/>
          </w:tcPr>
          <w:p w:rsidR="00E00674" w:rsidRPr="00110345" w:rsidRDefault="00E00674" w:rsidP="00650F6C">
            <w:r w:rsidRPr="00110345">
              <w:t>Art. 5</w:t>
            </w:r>
          </w:p>
        </w:tc>
        <w:tc>
          <w:tcPr>
            <w:tcW w:w="709" w:type="dxa"/>
          </w:tcPr>
          <w:p w:rsidR="00E00674" w:rsidRPr="00110345" w:rsidRDefault="00E00674" w:rsidP="00650F6C"/>
        </w:tc>
        <w:tc>
          <w:tcPr>
            <w:tcW w:w="567" w:type="dxa"/>
          </w:tcPr>
          <w:p w:rsidR="00E00674" w:rsidRPr="00110345" w:rsidRDefault="00E00674" w:rsidP="00650F6C"/>
        </w:tc>
      </w:tr>
      <w:tr w:rsidR="00110345" w:rsidRPr="00110345" w:rsidTr="00E00674">
        <w:tc>
          <w:tcPr>
            <w:tcW w:w="426" w:type="dxa"/>
          </w:tcPr>
          <w:p w:rsidR="00E00674" w:rsidRPr="00110345" w:rsidRDefault="00110345" w:rsidP="00650F6C">
            <w:pPr>
              <w:jc w:val="both"/>
            </w:pPr>
            <w:r>
              <w:t>26</w:t>
            </w:r>
          </w:p>
        </w:tc>
        <w:tc>
          <w:tcPr>
            <w:tcW w:w="6237" w:type="dxa"/>
          </w:tcPr>
          <w:p w:rsidR="00E00674" w:rsidRPr="00110345" w:rsidRDefault="00E00674" w:rsidP="00650F6C">
            <w:pPr>
              <w:jc w:val="both"/>
              <w:rPr>
                <w:sz w:val="24"/>
              </w:rPr>
            </w:pPr>
            <w:r w:rsidRPr="00110345">
              <w:rPr>
                <w:sz w:val="24"/>
              </w:rPr>
              <w:t xml:space="preserve">Estinzione degli ordinativi di pagamento con </w:t>
            </w:r>
            <w:proofErr w:type="spellStart"/>
            <w:r w:rsidRPr="00110345">
              <w:rPr>
                <w:sz w:val="24"/>
              </w:rPr>
              <w:t>girofondo</w:t>
            </w:r>
            <w:proofErr w:type="spellEnd"/>
            <w:r w:rsidRPr="00110345">
              <w:rPr>
                <w:sz w:val="24"/>
              </w:rPr>
              <w:t xml:space="preserve"> in Banca d’Italia.</w:t>
            </w:r>
          </w:p>
        </w:tc>
        <w:tc>
          <w:tcPr>
            <w:tcW w:w="1417" w:type="dxa"/>
          </w:tcPr>
          <w:p w:rsidR="00E00674" w:rsidRPr="00110345" w:rsidRDefault="00E00674" w:rsidP="00650F6C">
            <w:r w:rsidRPr="00110345">
              <w:t>Art. 5</w:t>
            </w:r>
          </w:p>
        </w:tc>
        <w:tc>
          <w:tcPr>
            <w:tcW w:w="709" w:type="dxa"/>
          </w:tcPr>
          <w:p w:rsidR="00E00674" w:rsidRPr="00110345" w:rsidRDefault="00E00674" w:rsidP="00650F6C"/>
        </w:tc>
        <w:tc>
          <w:tcPr>
            <w:tcW w:w="567" w:type="dxa"/>
          </w:tcPr>
          <w:p w:rsidR="00E00674" w:rsidRPr="00110345" w:rsidRDefault="00E00674" w:rsidP="00650F6C"/>
        </w:tc>
      </w:tr>
      <w:tr w:rsidR="00110345" w:rsidRPr="00110345" w:rsidTr="00E00674">
        <w:tc>
          <w:tcPr>
            <w:tcW w:w="426" w:type="dxa"/>
          </w:tcPr>
          <w:p w:rsidR="00E00674" w:rsidRPr="00110345" w:rsidRDefault="00110345" w:rsidP="004C4DFD">
            <w:pPr>
              <w:jc w:val="both"/>
            </w:pPr>
            <w:r>
              <w:t>27</w:t>
            </w:r>
          </w:p>
        </w:tc>
        <w:tc>
          <w:tcPr>
            <w:tcW w:w="6237" w:type="dxa"/>
          </w:tcPr>
          <w:p w:rsidR="00E00674" w:rsidRPr="00110345" w:rsidRDefault="00E00674" w:rsidP="004C4DFD">
            <w:pPr>
              <w:jc w:val="both"/>
              <w:rPr>
                <w:sz w:val="24"/>
              </w:rPr>
            </w:pPr>
            <w:r w:rsidRPr="00110345">
              <w:rPr>
                <w:sz w:val="24"/>
              </w:rPr>
              <w:t>Estinzione degli ordinativi di pagamento tramite cassa effettuati in “circolarità” presso qualsiasi Agenzia o Filiale dell’Aggiudicatario che conserverà la firma di quietanza.</w:t>
            </w:r>
          </w:p>
        </w:tc>
        <w:tc>
          <w:tcPr>
            <w:tcW w:w="1417" w:type="dxa"/>
          </w:tcPr>
          <w:p w:rsidR="00E00674" w:rsidRPr="00110345" w:rsidRDefault="00E00674" w:rsidP="00650F6C">
            <w:r w:rsidRPr="00110345">
              <w:t>Art. 5</w:t>
            </w:r>
          </w:p>
        </w:tc>
        <w:tc>
          <w:tcPr>
            <w:tcW w:w="709" w:type="dxa"/>
          </w:tcPr>
          <w:p w:rsidR="00E00674" w:rsidRPr="00110345" w:rsidRDefault="00E00674" w:rsidP="00650F6C"/>
        </w:tc>
        <w:tc>
          <w:tcPr>
            <w:tcW w:w="567" w:type="dxa"/>
          </w:tcPr>
          <w:p w:rsidR="00E00674" w:rsidRPr="00110345" w:rsidRDefault="00E00674" w:rsidP="00650F6C"/>
        </w:tc>
      </w:tr>
      <w:tr w:rsidR="00110345" w:rsidRPr="00110345" w:rsidTr="00E00674">
        <w:tc>
          <w:tcPr>
            <w:tcW w:w="426" w:type="dxa"/>
          </w:tcPr>
          <w:p w:rsidR="00E00674" w:rsidRPr="00110345" w:rsidRDefault="00110345" w:rsidP="004C4DFD">
            <w:pPr>
              <w:tabs>
                <w:tab w:val="num" w:pos="0"/>
              </w:tabs>
              <w:jc w:val="both"/>
            </w:pPr>
            <w:r>
              <w:t>28</w:t>
            </w:r>
          </w:p>
        </w:tc>
        <w:tc>
          <w:tcPr>
            <w:tcW w:w="6237" w:type="dxa"/>
          </w:tcPr>
          <w:p w:rsidR="00E00674" w:rsidRPr="00110345" w:rsidRDefault="00E00674" w:rsidP="00472412">
            <w:pPr>
              <w:tabs>
                <w:tab w:val="num" w:pos="0"/>
              </w:tabs>
              <w:jc w:val="both"/>
              <w:rPr>
                <w:sz w:val="24"/>
              </w:rPr>
            </w:pPr>
            <w:r w:rsidRPr="00110345">
              <w:rPr>
                <w:sz w:val="24"/>
              </w:rPr>
              <w:t xml:space="preserve">Nessun addebito all’Università per oneri o commissioni diversi da quelli stabiliti in sede di offerta. </w:t>
            </w:r>
          </w:p>
        </w:tc>
        <w:tc>
          <w:tcPr>
            <w:tcW w:w="1417" w:type="dxa"/>
          </w:tcPr>
          <w:p w:rsidR="00E00674" w:rsidRPr="00110345" w:rsidRDefault="00E00674" w:rsidP="00650F6C">
            <w:r w:rsidRPr="00110345">
              <w:t>Art. 5</w:t>
            </w:r>
          </w:p>
        </w:tc>
        <w:tc>
          <w:tcPr>
            <w:tcW w:w="709" w:type="dxa"/>
          </w:tcPr>
          <w:p w:rsidR="00E00674" w:rsidRPr="00110345" w:rsidRDefault="00E00674" w:rsidP="00650F6C"/>
        </w:tc>
        <w:tc>
          <w:tcPr>
            <w:tcW w:w="567" w:type="dxa"/>
          </w:tcPr>
          <w:p w:rsidR="00E00674" w:rsidRPr="00110345" w:rsidRDefault="00E00674" w:rsidP="00650F6C"/>
        </w:tc>
      </w:tr>
      <w:tr w:rsidR="00110345" w:rsidRPr="00110345" w:rsidTr="00E00674">
        <w:tc>
          <w:tcPr>
            <w:tcW w:w="426" w:type="dxa"/>
          </w:tcPr>
          <w:p w:rsidR="00E00674" w:rsidRPr="00110345" w:rsidRDefault="00110345" w:rsidP="004C4DFD">
            <w:pPr>
              <w:tabs>
                <w:tab w:val="num" w:pos="0"/>
              </w:tabs>
              <w:jc w:val="both"/>
            </w:pPr>
            <w:r>
              <w:t>29</w:t>
            </w:r>
          </w:p>
        </w:tc>
        <w:tc>
          <w:tcPr>
            <w:tcW w:w="6237" w:type="dxa"/>
          </w:tcPr>
          <w:p w:rsidR="00E00674" w:rsidRPr="00110345" w:rsidRDefault="00E00674" w:rsidP="004C4DFD">
            <w:pPr>
              <w:tabs>
                <w:tab w:val="num" w:pos="0"/>
              </w:tabs>
              <w:jc w:val="both"/>
              <w:rPr>
                <w:strike/>
                <w:sz w:val="24"/>
              </w:rPr>
            </w:pPr>
            <w:r w:rsidRPr="00110345">
              <w:rPr>
                <w:sz w:val="24"/>
              </w:rPr>
              <w:t xml:space="preserve">Esecuzione di pagamenti inderogabili ed obbligatori anche dietro presentazione di carta contabile sottoscritta anche soltanto da uno dei soggetti abilitati alla sottoscrizione dei ordinativi di pagamento. Tali pagamenti saranno regolarizzati con l’emissione di ordinativo di pagamento. </w:t>
            </w:r>
          </w:p>
        </w:tc>
        <w:tc>
          <w:tcPr>
            <w:tcW w:w="1417" w:type="dxa"/>
          </w:tcPr>
          <w:p w:rsidR="00E00674" w:rsidRPr="00110345" w:rsidRDefault="00E00674" w:rsidP="00650F6C">
            <w:r w:rsidRPr="00110345">
              <w:t>Art. 5</w:t>
            </w:r>
          </w:p>
        </w:tc>
        <w:tc>
          <w:tcPr>
            <w:tcW w:w="709" w:type="dxa"/>
          </w:tcPr>
          <w:p w:rsidR="00E00674" w:rsidRPr="00110345" w:rsidRDefault="00E00674" w:rsidP="00650F6C"/>
        </w:tc>
        <w:tc>
          <w:tcPr>
            <w:tcW w:w="567" w:type="dxa"/>
          </w:tcPr>
          <w:p w:rsidR="00E00674" w:rsidRPr="00110345" w:rsidRDefault="00E00674" w:rsidP="00650F6C"/>
        </w:tc>
      </w:tr>
      <w:tr w:rsidR="000E7442" w:rsidRPr="00110345" w:rsidTr="00E00674">
        <w:tc>
          <w:tcPr>
            <w:tcW w:w="426" w:type="dxa"/>
          </w:tcPr>
          <w:p w:rsidR="000E7442" w:rsidRDefault="000E7442" w:rsidP="004C4DFD">
            <w:pPr>
              <w:tabs>
                <w:tab w:val="num" w:pos="0"/>
              </w:tabs>
              <w:jc w:val="both"/>
            </w:pPr>
            <w:r>
              <w:t>30</w:t>
            </w:r>
          </w:p>
        </w:tc>
        <w:tc>
          <w:tcPr>
            <w:tcW w:w="6237" w:type="dxa"/>
          </w:tcPr>
          <w:p w:rsidR="000E7442" w:rsidRPr="00110345" w:rsidRDefault="000E7442" w:rsidP="009D7B48">
            <w:pPr>
              <w:jc w:val="both"/>
              <w:rPr>
                <w:sz w:val="24"/>
              </w:rPr>
            </w:pPr>
            <w:r w:rsidRPr="0026180D">
              <w:rPr>
                <w:sz w:val="24"/>
              </w:rPr>
              <w:t xml:space="preserve">Esecuzione dei titoli di </w:t>
            </w:r>
            <w:r w:rsidR="00EE224F">
              <w:rPr>
                <w:sz w:val="24"/>
              </w:rPr>
              <w:t xml:space="preserve">spesa </w:t>
            </w:r>
            <w:r w:rsidRPr="0026180D">
              <w:rPr>
                <w:sz w:val="24"/>
              </w:rPr>
              <w:t xml:space="preserve">entro il </w:t>
            </w:r>
            <w:r w:rsidR="009D7B48" w:rsidRPr="0026180D">
              <w:rPr>
                <w:sz w:val="24"/>
              </w:rPr>
              <w:t>secondo</w:t>
            </w:r>
            <w:r w:rsidRPr="0026180D">
              <w:rPr>
                <w:sz w:val="24"/>
              </w:rPr>
              <w:t xml:space="preserve"> giorno lavorativo susseguente a quello di trasmissione da parte dell’Ateneo alla piattaforma </w:t>
            </w:r>
            <w:proofErr w:type="spellStart"/>
            <w:r w:rsidRPr="0026180D">
              <w:rPr>
                <w:sz w:val="24"/>
              </w:rPr>
              <w:t>Siope</w:t>
            </w:r>
            <w:proofErr w:type="spellEnd"/>
            <w:r w:rsidRPr="0026180D">
              <w:rPr>
                <w:sz w:val="24"/>
              </w:rPr>
              <w:t xml:space="preserve">+. In sede di offerta potrà essere indicato un numero di giorni minore, oggetto di valutazione dell’offerta tecnica; in tale caso i titoli di spesa dovranno essere eseguiti entro il numero di giorni lavorativi susseguenti a quello di trasmissione al sistema </w:t>
            </w:r>
            <w:proofErr w:type="spellStart"/>
            <w:r w:rsidRPr="0026180D">
              <w:rPr>
                <w:sz w:val="24"/>
              </w:rPr>
              <w:t>Siope</w:t>
            </w:r>
            <w:proofErr w:type="spellEnd"/>
            <w:r w:rsidRPr="0026180D">
              <w:rPr>
                <w:sz w:val="24"/>
              </w:rPr>
              <w:t>+ indicati nell’offerta, salvo diversa indicazione dell’Università (ad esempio indicazione espressa della data di esigibilità). L’inosservanza di tale obbligo</w:t>
            </w:r>
            <w:r w:rsidRPr="0026180D">
              <w:t xml:space="preserve"> </w:t>
            </w:r>
            <w:r w:rsidRPr="0026180D">
              <w:rPr>
                <w:sz w:val="24"/>
              </w:rPr>
              <w:t>potrà essere oggetto di contestazione da parte dell’Università ai sensi del successivo art. 20.</w:t>
            </w:r>
          </w:p>
        </w:tc>
        <w:tc>
          <w:tcPr>
            <w:tcW w:w="1417" w:type="dxa"/>
          </w:tcPr>
          <w:p w:rsidR="000E7442" w:rsidRPr="00110345" w:rsidRDefault="000E7442" w:rsidP="00650F6C">
            <w:r w:rsidRPr="00110345">
              <w:t>Art. 5</w:t>
            </w:r>
          </w:p>
        </w:tc>
        <w:tc>
          <w:tcPr>
            <w:tcW w:w="709" w:type="dxa"/>
          </w:tcPr>
          <w:p w:rsidR="000E7442" w:rsidRPr="00110345" w:rsidRDefault="000E7442" w:rsidP="00650F6C"/>
        </w:tc>
        <w:tc>
          <w:tcPr>
            <w:tcW w:w="567" w:type="dxa"/>
          </w:tcPr>
          <w:p w:rsidR="000E7442" w:rsidRPr="00110345" w:rsidRDefault="000E7442" w:rsidP="00650F6C"/>
        </w:tc>
      </w:tr>
      <w:tr w:rsidR="00047ACB" w:rsidRPr="00110345" w:rsidTr="00E00674">
        <w:tc>
          <w:tcPr>
            <w:tcW w:w="426" w:type="dxa"/>
          </w:tcPr>
          <w:p w:rsidR="00047ACB" w:rsidRPr="00110345" w:rsidRDefault="000E7442" w:rsidP="004C4DFD">
            <w:pPr>
              <w:tabs>
                <w:tab w:val="num" w:pos="0"/>
              </w:tabs>
              <w:jc w:val="both"/>
            </w:pPr>
            <w:r>
              <w:t>31</w:t>
            </w:r>
          </w:p>
        </w:tc>
        <w:tc>
          <w:tcPr>
            <w:tcW w:w="6237" w:type="dxa"/>
          </w:tcPr>
          <w:p w:rsidR="00047ACB" w:rsidRPr="00110345" w:rsidRDefault="00047ACB" w:rsidP="004C4DFD">
            <w:pPr>
              <w:tabs>
                <w:tab w:val="num" w:pos="0"/>
              </w:tabs>
              <w:jc w:val="both"/>
              <w:rPr>
                <w:sz w:val="24"/>
              </w:rPr>
            </w:pPr>
            <w:r w:rsidRPr="00110345">
              <w:rPr>
                <w:sz w:val="24"/>
              </w:rPr>
              <w:t>Trasmissione automatizzata di IUV – generazione e annullamento</w:t>
            </w:r>
          </w:p>
        </w:tc>
        <w:tc>
          <w:tcPr>
            <w:tcW w:w="1417" w:type="dxa"/>
          </w:tcPr>
          <w:p w:rsidR="00047ACB" w:rsidRPr="00110345" w:rsidRDefault="00B6202B" w:rsidP="00650F6C">
            <w:r w:rsidRPr="00110345">
              <w:t>Art.7</w:t>
            </w:r>
          </w:p>
        </w:tc>
        <w:tc>
          <w:tcPr>
            <w:tcW w:w="709" w:type="dxa"/>
          </w:tcPr>
          <w:p w:rsidR="00047ACB" w:rsidRPr="00110345" w:rsidRDefault="00047ACB" w:rsidP="00650F6C"/>
        </w:tc>
        <w:tc>
          <w:tcPr>
            <w:tcW w:w="567" w:type="dxa"/>
          </w:tcPr>
          <w:p w:rsidR="00047ACB" w:rsidRPr="00110345" w:rsidRDefault="00047ACB" w:rsidP="00650F6C"/>
        </w:tc>
      </w:tr>
      <w:tr w:rsidR="00047ACB" w:rsidRPr="00110345" w:rsidTr="00E00674">
        <w:tc>
          <w:tcPr>
            <w:tcW w:w="426" w:type="dxa"/>
          </w:tcPr>
          <w:p w:rsidR="00047ACB" w:rsidRPr="00110345" w:rsidRDefault="00110345" w:rsidP="000E7442">
            <w:pPr>
              <w:tabs>
                <w:tab w:val="num" w:pos="0"/>
              </w:tabs>
              <w:jc w:val="both"/>
            </w:pPr>
            <w:r>
              <w:t>3</w:t>
            </w:r>
            <w:r w:rsidR="000E7442">
              <w:t>2</w:t>
            </w:r>
          </w:p>
        </w:tc>
        <w:tc>
          <w:tcPr>
            <w:tcW w:w="6237" w:type="dxa"/>
          </w:tcPr>
          <w:p w:rsidR="00047ACB" w:rsidRPr="00110345" w:rsidRDefault="00047ACB" w:rsidP="00047ACB">
            <w:pPr>
              <w:tabs>
                <w:tab w:val="num" w:pos="0"/>
              </w:tabs>
              <w:jc w:val="both"/>
              <w:rPr>
                <w:sz w:val="24"/>
              </w:rPr>
            </w:pPr>
            <w:r w:rsidRPr="00110345">
              <w:rPr>
                <w:sz w:val="24"/>
              </w:rPr>
              <w:t>Trasmissione automatizzata di rendicontazioni IUV</w:t>
            </w:r>
          </w:p>
        </w:tc>
        <w:tc>
          <w:tcPr>
            <w:tcW w:w="1417" w:type="dxa"/>
          </w:tcPr>
          <w:p w:rsidR="00047ACB" w:rsidRPr="00110345" w:rsidRDefault="00B6202B" w:rsidP="00650F6C">
            <w:r w:rsidRPr="00110345">
              <w:t>Art.7</w:t>
            </w:r>
          </w:p>
        </w:tc>
        <w:tc>
          <w:tcPr>
            <w:tcW w:w="709" w:type="dxa"/>
          </w:tcPr>
          <w:p w:rsidR="00047ACB" w:rsidRPr="00110345" w:rsidRDefault="00047ACB" w:rsidP="00650F6C"/>
        </w:tc>
        <w:tc>
          <w:tcPr>
            <w:tcW w:w="567" w:type="dxa"/>
          </w:tcPr>
          <w:p w:rsidR="00047ACB" w:rsidRPr="00110345" w:rsidRDefault="00047ACB" w:rsidP="00650F6C"/>
        </w:tc>
      </w:tr>
      <w:tr w:rsidR="00110345" w:rsidRPr="00110345" w:rsidTr="00FC4620">
        <w:tc>
          <w:tcPr>
            <w:tcW w:w="426" w:type="dxa"/>
          </w:tcPr>
          <w:p w:rsidR="00B6202B" w:rsidRPr="00110345" w:rsidRDefault="000E7442" w:rsidP="00FC4620">
            <w:pPr>
              <w:jc w:val="both"/>
            </w:pPr>
            <w:r>
              <w:t>33</w:t>
            </w:r>
          </w:p>
        </w:tc>
        <w:tc>
          <w:tcPr>
            <w:tcW w:w="6237" w:type="dxa"/>
          </w:tcPr>
          <w:p w:rsidR="00B6202B" w:rsidRPr="00110345" w:rsidRDefault="00B6202B" w:rsidP="00FC4620">
            <w:pPr>
              <w:jc w:val="both"/>
              <w:rPr>
                <w:sz w:val="24"/>
              </w:rPr>
            </w:pPr>
            <w:r w:rsidRPr="00110345">
              <w:rPr>
                <w:sz w:val="24"/>
              </w:rPr>
              <w:t>Trasmissione on line e pagamento deleghe F24 e F24 Enti Pubblici.</w:t>
            </w:r>
          </w:p>
        </w:tc>
        <w:tc>
          <w:tcPr>
            <w:tcW w:w="1417" w:type="dxa"/>
          </w:tcPr>
          <w:p w:rsidR="00B6202B" w:rsidRPr="00110345" w:rsidRDefault="00B6202B" w:rsidP="00FC4620">
            <w:r w:rsidRPr="00110345">
              <w:t xml:space="preserve">Art.7 </w:t>
            </w:r>
          </w:p>
        </w:tc>
        <w:tc>
          <w:tcPr>
            <w:tcW w:w="709" w:type="dxa"/>
          </w:tcPr>
          <w:p w:rsidR="00B6202B" w:rsidRPr="00110345" w:rsidRDefault="00B6202B" w:rsidP="00FC4620"/>
        </w:tc>
        <w:tc>
          <w:tcPr>
            <w:tcW w:w="567" w:type="dxa"/>
          </w:tcPr>
          <w:p w:rsidR="00B6202B" w:rsidRPr="00110345" w:rsidRDefault="00B6202B" w:rsidP="00FC4620"/>
        </w:tc>
      </w:tr>
      <w:tr w:rsidR="00110345" w:rsidRPr="00110345" w:rsidTr="00287FE3">
        <w:tc>
          <w:tcPr>
            <w:tcW w:w="426" w:type="dxa"/>
          </w:tcPr>
          <w:p w:rsidR="00B6202B" w:rsidRPr="00110345" w:rsidRDefault="00B24237" w:rsidP="00287FE3">
            <w:pPr>
              <w:jc w:val="both"/>
            </w:pPr>
            <w:r>
              <w:t>34</w:t>
            </w:r>
          </w:p>
        </w:tc>
        <w:tc>
          <w:tcPr>
            <w:tcW w:w="6237" w:type="dxa"/>
          </w:tcPr>
          <w:p w:rsidR="00B6202B" w:rsidRPr="00110345" w:rsidRDefault="00B6202B" w:rsidP="00287FE3">
            <w:pPr>
              <w:jc w:val="both"/>
              <w:rPr>
                <w:sz w:val="24"/>
              </w:rPr>
            </w:pPr>
            <w:r w:rsidRPr="00110345">
              <w:rPr>
                <w:sz w:val="24"/>
              </w:rPr>
              <w:t>Trasmissione on line flusso pagamento stipendi.</w:t>
            </w:r>
          </w:p>
        </w:tc>
        <w:tc>
          <w:tcPr>
            <w:tcW w:w="1417" w:type="dxa"/>
          </w:tcPr>
          <w:p w:rsidR="00B6202B" w:rsidRPr="00110345" w:rsidRDefault="00B6202B" w:rsidP="00287FE3">
            <w:r w:rsidRPr="00110345">
              <w:t xml:space="preserve">Art.7 </w:t>
            </w:r>
          </w:p>
        </w:tc>
        <w:tc>
          <w:tcPr>
            <w:tcW w:w="709" w:type="dxa"/>
          </w:tcPr>
          <w:p w:rsidR="00B6202B" w:rsidRPr="00110345" w:rsidRDefault="00B6202B" w:rsidP="00287FE3"/>
        </w:tc>
        <w:tc>
          <w:tcPr>
            <w:tcW w:w="567" w:type="dxa"/>
          </w:tcPr>
          <w:p w:rsidR="00B6202B" w:rsidRPr="00110345" w:rsidRDefault="00B6202B" w:rsidP="00287FE3"/>
        </w:tc>
      </w:tr>
      <w:tr w:rsidR="00110345" w:rsidRPr="00110345" w:rsidTr="00E00674">
        <w:tc>
          <w:tcPr>
            <w:tcW w:w="426" w:type="dxa"/>
          </w:tcPr>
          <w:p w:rsidR="00E00674" w:rsidRPr="00110345" w:rsidRDefault="001E2FE2" w:rsidP="005C651E">
            <w:pPr>
              <w:jc w:val="both"/>
            </w:pPr>
            <w:r w:rsidRPr="00110345">
              <w:t>3</w:t>
            </w:r>
            <w:r w:rsidR="00B24237">
              <w:t>5</w:t>
            </w:r>
          </w:p>
        </w:tc>
        <w:tc>
          <w:tcPr>
            <w:tcW w:w="6237" w:type="dxa"/>
          </w:tcPr>
          <w:p w:rsidR="00E00674" w:rsidRPr="00110345" w:rsidRDefault="00E00674" w:rsidP="005C651E">
            <w:pPr>
              <w:jc w:val="both"/>
              <w:rPr>
                <w:sz w:val="24"/>
              </w:rPr>
            </w:pPr>
            <w:r w:rsidRPr="00110345">
              <w:rPr>
                <w:sz w:val="24"/>
              </w:rPr>
              <w:t>Consultazione on line dello stato di esecuzione degli ordinativi informatici.</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4C4DFD">
            <w:pPr>
              <w:jc w:val="both"/>
            </w:pPr>
            <w:r>
              <w:t>36</w:t>
            </w:r>
          </w:p>
        </w:tc>
        <w:tc>
          <w:tcPr>
            <w:tcW w:w="6237" w:type="dxa"/>
          </w:tcPr>
          <w:p w:rsidR="00E00674" w:rsidRPr="00110345" w:rsidRDefault="00E00674" w:rsidP="004C4DFD">
            <w:pPr>
              <w:jc w:val="both"/>
              <w:rPr>
                <w:sz w:val="24"/>
              </w:rPr>
            </w:pPr>
            <w:r w:rsidRPr="00110345">
              <w:rPr>
                <w:sz w:val="24"/>
              </w:rPr>
              <w:t>Stampa e download quietanze di pagamento on line.</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5C651E">
            <w:pPr>
              <w:jc w:val="both"/>
            </w:pPr>
            <w:r>
              <w:t>37</w:t>
            </w:r>
          </w:p>
        </w:tc>
        <w:tc>
          <w:tcPr>
            <w:tcW w:w="6237" w:type="dxa"/>
          </w:tcPr>
          <w:p w:rsidR="00E00674" w:rsidRPr="00110345" w:rsidRDefault="00E00674" w:rsidP="005C651E">
            <w:pPr>
              <w:jc w:val="both"/>
              <w:rPr>
                <w:sz w:val="24"/>
              </w:rPr>
            </w:pPr>
            <w:r w:rsidRPr="00110345">
              <w:rPr>
                <w:sz w:val="24"/>
              </w:rPr>
              <w:t>Consultazione on line</w:t>
            </w:r>
            <w:r w:rsidR="00047ACB" w:rsidRPr="00110345">
              <w:rPr>
                <w:sz w:val="24"/>
              </w:rPr>
              <w:t xml:space="preserve"> movimenti e </w:t>
            </w:r>
            <w:r w:rsidRPr="00110345">
              <w:rPr>
                <w:sz w:val="24"/>
              </w:rPr>
              <w:t xml:space="preserve"> saldo conto corrente  e conto di tesoreria unica con la distinzione tra fruttifero e infruttifero.</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4C4DFD">
            <w:pPr>
              <w:jc w:val="both"/>
            </w:pPr>
            <w:r>
              <w:lastRenderedPageBreak/>
              <w:t>38</w:t>
            </w:r>
          </w:p>
        </w:tc>
        <w:tc>
          <w:tcPr>
            <w:tcW w:w="6237" w:type="dxa"/>
          </w:tcPr>
          <w:p w:rsidR="00E00674" w:rsidRPr="00110345" w:rsidRDefault="00E00674" w:rsidP="004C4DFD">
            <w:pPr>
              <w:jc w:val="both"/>
              <w:rPr>
                <w:sz w:val="24"/>
              </w:rPr>
            </w:pPr>
            <w:r w:rsidRPr="00110345">
              <w:rPr>
                <w:sz w:val="24"/>
              </w:rPr>
              <w:t>Consultazione on line  e download elenco ordinativi di pagamento e ordinativi di incasso da eseguire e uscite e entrate da regolarizzare.</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4C4DFD">
            <w:pPr>
              <w:jc w:val="both"/>
            </w:pPr>
            <w:r>
              <w:t>39</w:t>
            </w:r>
          </w:p>
        </w:tc>
        <w:tc>
          <w:tcPr>
            <w:tcW w:w="6237" w:type="dxa"/>
          </w:tcPr>
          <w:p w:rsidR="00E00674" w:rsidRPr="00110345" w:rsidRDefault="00E00674" w:rsidP="004C4DFD">
            <w:pPr>
              <w:jc w:val="both"/>
              <w:rPr>
                <w:sz w:val="24"/>
              </w:rPr>
            </w:pPr>
            <w:r w:rsidRPr="00110345">
              <w:rPr>
                <w:sz w:val="24"/>
              </w:rPr>
              <w:t>Interrogazione on line documenti (es. ordinativi, quietanze).</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4C4DFD">
            <w:pPr>
              <w:jc w:val="both"/>
            </w:pPr>
            <w:r>
              <w:t>40</w:t>
            </w:r>
          </w:p>
        </w:tc>
        <w:tc>
          <w:tcPr>
            <w:tcW w:w="6237" w:type="dxa"/>
          </w:tcPr>
          <w:p w:rsidR="00E00674" w:rsidRPr="00110345" w:rsidRDefault="00E00674" w:rsidP="004C4DFD">
            <w:pPr>
              <w:jc w:val="both"/>
              <w:rPr>
                <w:sz w:val="24"/>
              </w:rPr>
            </w:pPr>
            <w:r w:rsidRPr="00110345">
              <w:rPr>
                <w:sz w:val="24"/>
              </w:rPr>
              <w:t xml:space="preserve">Consultazione on line IUV emessi e relativo stato (es. incassato, da incassare, </w:t>
            </w:r>
            <w:proofErr w:type="spellStart"/>
            <w:r w:rsidRPr="00110345">
              <w:rPr>
                <w:sz w:val="24"/>
              </w:rPr>
              <w:t>annuallato</w:t>
            </w:r>
            <w:proofErr w:type="spellEnd"/>
            <w:r w:rsidRPr="00110345">
              <w:rPr>
                <w:sz w:val="24"/>
              </w:rPr>
              <w:t>).</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E0546D">
            <w:pPr>
              <w:jc w:val="both"/>
            </w:pPr>
            <w:r>
              <w:t>41</w:t>
            </w:r>
          </w:p>
        </w:tc>
        <w:tc>
          <w:tcPr>
            <w:tcW w:w="6237" w:type="dxa"/>
          </w:tcPr>
          <w:p w:rsidR="00E00674" w:rsidRPr="00110345" w:rsidRDefault="00E00674" w:rsidP="00E0546D">
            <w:pPr>
              <w:jc w:val="both"/>
              <w:rPr>
                <w:sz w:val="24"/>
              </w:rPr>
            </w:pPr>
            <w:r w:rsidRPr="00110345">
              <w:rPr>
                <w:sz w:val="24"/>
              </w:rPr>
              <w:t>Consultazione on line per ogni IUV dei dati inerenti il credito</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110345" w:rsidRPr="00110345" w:rsidRDefault="00B24237" w:rsidP="00E0546D">
            <w:pPr>
              <w:jc w:val="both"/>
            </w:pPr>
            <w:r>
              <w:t>42</w:t>
            </w:r>
          </w:p>
        </w:tc>
        <w:tc>
          <w:tcPr>
            <w:tcW w:w="6237" w:type="dxa"/>
          </w:tcPr>
          <w:p w:rsidR="00110345" w:rsidRPr="00110345" w:rsidRDefault="00110345" w:rsidP="00E0546D">
            <w:pPr>
              <w:jc w:val="both"/>
              <w:rPr>
                <w:sz w:val="24"/>
              </w:rPr>
            </w:pPr>
            <w:r w:rsidRPr="00110345">
              <w:rPr>
                <w:sz w:val="24"/>
              </w:rPr>
              <w:t xml:space="preserve">Compatibilità, con le principali procedure applicative e i browser. Al momento della presentazione dell’offerta: </w:t>
            </w:r>
            <w:proofErr w:type="spellStart"/>
            <w:r w:rsidRPr="00110345">
              <w:rPr>
                <w:sz w:val="24"/>
              </w:rPr>
              <w:t>Mozilla</w:t>
            </w:r>
            <w:proofErr w:type="spellEnd"/>
            <w:r w:rsidRPr="00110345">
              <w:rPr>
                <w:sz w:val="24"/>
              </w:rPr>
              <w:t xml:space="preserve"> </w:t>
            </w:r>
            <w:proofErr w:type="spellStart"/>
            <w:r w:rsidRPr="00110345">
              <w:rPr>
                <w:sz w:val="24"/>
              </w:rPr>
              <w:t>Firefox</w:t>
            </w:r>
            <w:proofErr w:type="spellEnd"/>
            <w:r w:rsidRPr="00110345">
              <w:rPr>
                <w:sz w:val="24"/>
              </w:rPr>
              <w:t>/</w:t>
            </w:r>
            <w:proofErr w:type="spellStart"/>
            <w:r w:rsidRPr="00110345">
              <w:rPr>
                <w:sz w:val="24"/>
              </w:rPr>
              <w:t>Iceweasel</w:t>
            </w:r>
            <w:proofErr w:type="spellEnd"/>
            <w:r w:rsidRPr="00110345">
              <w:rPr>
                <w:sz w:val="24"/>
              </w:rPr>
              <w:t xml:space="preserve">, </w:t>
            </w:r>
            <w:proofErr w:type="spellStart"/>
            <w:r w:rsidRPr="00110345">
              <w:rPr>
                <w:sz w:val="24"/>
              </w:rPr>
              <w:t>Chrome</w:t>
            </w:r>
            <w:proofErr w:type="spellEnd"/>
            <w:r w:rsidRPr="00110345">
              <w:rPr>
                <w:sz w:val="24"/>
              </w:rPr>
              <w:t>/</w:t>
            </w:r>
            <w:proofErr w:type="spellStart"/>
            <w:r w:rsidRPr="00110345">
              <w:rPr>
                <w:sz w:val="24"/>
              </w:rPr>
              <w:t>Chromium</w:t>
            </w:r>
            <w:proofErr w:type="spellEnd"/>
            <w:r w:rsidRPr="00110345">
              <w:rPr>
                <w:sz w:val="24"/>
              </w:rPr>
              <w:t>, Internet Explorer/</w:t>
            </w:r>
            <w:proofErr w:type="spellStart"/>
            <w:r w:rsidRPr="00110345">
              <w:rPr>
                <w:sz w:val="24"/>
              </w:rPr>
              <w:t>Edge</w:t>
            </w:r>
            <w:proofErr w:type="spellEnd"/>
            <w:r w:rsidRPr="00110345">
              <w:rPr>
                <w:sz w:val="24"/>
              </w:rPr>
              <w:t>, Opera, Safari.</w:t>
            </w:r>
          </w:p>
        </w:tc>
        <w:tc>
          <w:tcPr>
            <w:tcW w:w="1417" w:type="dxa"/>
          </w:tcPr>
          <w:p w:rsidR="00110345" w:rsidRPr="00110345" w:rsidRDefault="00110345" w:rsidP="005C651E">
            <w:r w:rsidRPr="00110345">
              <w:t>Art.7</w:t>
            </w:r>
          </w:p>
        </w:tc>
        <w:tc>
          <w:tcPr>
            <w:tcW w:w="709" w:type="dxa"/>
          </w:tcPr>
          <w:p w:rsidR="00110345" w:rsidRPr="00110345" w:rsidRDefault="00110345" w:rsidP="005C651E"/>
        </w:tc>
        <w:tc>
          <w:tcPr>
            <w:tcW w:w="567" w:type="dxa"/>
          </w:tcPr>
          <w:p w:rsidR="00110345" w:rsidRPr="00110345" w:rsidRDefault="00110345" w:rsidP="005C651E"/>
        </w:tc>
      </w:tr>
      <w:tr w:rsidR="00110345" w:rsidRPr="00110345" w:rsidTr="00E00674">
        <w:tc>
          <w:tcPr>
            <w:tcW w:w="426" w:type="dxa"/>
          </w:tcPr>
          <w:p w:rsidR="00E00674" w:rsidRPr="00110345" w:rsidRDefault="00B24237" w:rsidP="00E0546D">
            <w:pPr>
              <w:jc w:val="both"/>
            </w:pPr>
            <w:r>
              <w:t>43</w:t>
            </w:r>
          </w:p>
        </w:tc>
        <w:tc>
          <w:tcPr>
            <w:tcW w:w="6237" w:type="dxa"/>
          </w:tcPr>
          <w:p w:rsidR="00E00674" w:rsidRPr="00110345" w:rsidRDefault="00E00674" w:rsidP="00E0546D">
            <w:pPr>
              <w:jc w:val="both"/>
              <w:rPr>
                <w:strike/>
                <w:sz w:val="24"/>
              </w:rPr>
            </w:pPr>
            <w:r w:rsidRPr="00110345">
              <w:rPr>
                <w:sz w:val="24"/>
              </w:rPr>
              <w:t>Possibilità di creare per tutti i  servizi “n” utenti, ognuno con un’abilitazione personalizzata.</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B6202B">
        <w:tc>
          <w:tcPr>
            <w:tcW w:w="426" w:type="dxa"/>
            <w:shd w:val="clear" w:color="auto" w:fill="auto"/>
          </w:tcPr>
          <w:p w:rsidR="00E00674" w:rsidRPr="00110345" w:rsidRDefault="001E2FE2" w:rsidP="00110345">
            <w:pPr>
              <w:autoSpaceDE w:val="0"/>
              <w:autoSpaceDN w:val="0"/>
              <w:adjustRightInd w:val="0"/>
              <w:jc w:val="both"/>
            </w:pPr>
            <w:r w:rsidRPr="00110345">
              <w:t>4</w:t>
            </w:r>
            <w:r w:rsidR="00B24237">
              <w:t>4</w:t>
            </w:r>
          </w:p>
        </w:tc>
        <w:tc>
          <w:tcPr>
            <w:tcW w:w="6237" w:type="dxa"/>
            <w:shd w:val="clear" w:color="auto" w:fill="auto"/>
          </w:tcPr>
          <w:p w:rsidR="00E00674" w:rsidRPr="00110345" w:rsidRDefault="00E00674" w:rsidP="00E0546D">
            <w:pPr>
              <w:autoSpaceDE w:val="0"/>
              <w:autoSpaceDN w:val="0"/>
              <w:adjustRightInd w:val="0"/>
              <w:jc w:val="both"/>
              <w:rPr>
                <w:sz w:val="24"/>
              </w:rPr>
            </w:pPr>
            <w:r w:rsidRPr="00110345">
              <w:rPr>
                <w:sz w:val="24"/>
              </w:rPr>
              <w:t>Predisposizione di collegamenti telematici efficienti ed affidabili che garantiscano un adeguato sistema di sicurezza tra la rete dati dell’Aggiudicatario e quella dell’Università.</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B6202B">
        <w:trPr>
          <w:trHeight w:val="657"/>
        </w:trPr>
        <w:tc>
          <w:tcPr>
            <w:tcW w:w="426" w:type="dxa"/>
          </w:tcPr>
          <w:p w:rsidR="00E00674" w:rsidRPr="00110345" w:rsidRDefault="00B24237" w:rsidP="00E0546D">
            <w:pPr>
              <w:jc w:val="both"/>
            </w:pPr>
            <w:r>
              <w:t>45</w:t>
            </w:r>
          </w:p>
        </w:tc>
        <w:tc>
          <w:tcPr>
            <w:tcW w:w="6237" w:type="dxa"/>
          </w:tcPr>
          <w:p w:rsidR="00E00674" w:rsidRPr="00110345" w:rsidRDefault="00E00674" w:rsidP="00B6202B">
            <w:pPr>
              <w:jc w:val="both"/>
              <w:rPr>
                <w:sz w:val="24"/>
              </w:rPr>
            </w:pPr>
            <w:r w:rsidRPr="00110345">
              <w:rPr>
                <w:sz w:val="24"/>
              </w:rPr>
              <w:t xml:space="preserve">Adeguamento continuo delle procedure informatiche necessarie a garantire la piena rispondenza alle specifiche </w:t>
            </w:r>
            <w:proofErr w:type="spellStart"/>
            <w:r w:rsidR="00B6202B" w:rsidRPr="00110345">
              <w:rPr>
                <w:sz w:val="24"/>
              </w:rPr>
              <w:t>PagoPa</w:t>
            </w:r>
            <w:proofErr w:type="spellEnd"/>
            <w:r w:rsidR="00B6202B" w:rsidRPr="00110345">
              <w:rPr>
                <w:sz w:val="24"/>
              </w:rPr>
              <w:t xml:space="preserve"> e </w:t>
            </w:r>
            <w:proofErr w:type="spellStart"/>
            <w:r w:rsidR="00B6202B" w:rsidRPr="00110345">
              <w:rPr>
                <w:sz w:val="24"/>
              </w:rPr>
              <w:t>Siope</w:t>
            </w:r>
            <w:proofErr w:type="spellEnd"/>
            <w:r w:rsidR="00B6202B" w:rsidRPr="00110345">
              <w:rPr>
                <w:sz w:val="24"/>
              </w:rPr>
              <w:t xml:space="preserve"> +.</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E0546D">
            <w:pPr>
              <w:autoSpaceDE w:val="0"/>
              <w:autoSpaceDN w:val="0"/>
              <w:adjustRightInd w:val="0"/>
              <w:jc w:val="both"/>
            </w:pPr>
            <w:r>
              <w:t>46</w:t>
            </w:r>
          </w:p>
        </w:tc>
        <w:tc>
          <w:tcPr>
            <w:tcW w:w="6237" w:type="dxa"/>
          </w:tcPr>
          <w:p w:rsidR="00E00674" w:rsidRPr="00110345" w:rsidRDefault="00E00674" w:rsidP="009649DE">
            <w:pPr>
              <w:autoSpaceDE w:val="0"/>
              <w:autoSpaceDN w:val="0"/>
              <w:adjustRightInd w:val="0"/>
              <w:jc w:val="both"/>
              <w:rPr>
                <w:sz w:val="24"/>
              </w:rPr>
            </w:pPr>
            <w:r w:rsidRPr="00110345">
              <w:rPr>
                <w:sz w:val="24"/>
              </w:rPr>
              <w:t>Risoluzione degli  eventuali malfunzionamenti entro 48 ore solari, esclusi i giorni di sabato, domenica e festivi, dalla segnalazione al Referente di cui all’art.16</w:t>
            </w:r>
          </w:p>
        </w:tc>
        <w:tc>
          <w:tcPr>
            <w:tcW w:w="1417" w:type="dxa"/>
          </w:tcPr>
          <w:p w:rsidR="00E00674" w:rsidRPr="00110345" w:rsidRDefault="00E00674" w:rsidP="005C651E">
            <w:r w:rsidRPr="00110345">
              <w:t xml:space="preserve">Art.7 </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E0546D">
            <w:pPr>
              <w:autoSpaceDE w:val="0"/>
              <w:autoSpaceDN w:val="0"/>
              <w:adjustRightInd w:val="0"/>
              <w:jc w:val="both"/>
            </w:pPr>
            <w:r>
              <w:t>47</w:t>
            </w:r>
          </w:p>
        </w:tc>
        <w:tc>
          <w:tcPr>
            <w:tcW w:w="6237" w:type="dxa"/>
          </w:tcPr>
          <w:p w:rsidR="00E00674" w:rsidRPr="00110345" w:rsidRDefault="00E00674" w:rsidP="00E0546D">
            <w:pPr>
              <w:autoSpaceDE w:val="0"/>
              <w:autoSpaceDN w:val="0"/>
              <w:adjustRightInd w:val="0"/>
              <w:jc w:val="both"/>
              <w:rPr>
                <w:sz w:val="24"/>
              </w:rPr>
            </w:pPr>
            <w:r w:rsidRPr="00110345">
              <w:rPr>
                <w:sz w:val="24"/>
              </w:rPr>
              <w:t>Pagamento degli stipendi ed altri emolumenti per il personale dipendente dell'Università, il giorno 25 di ogni mese da gennaio a novembre e il giorno 17 per il mese di dicembre, o quelli previsti da successiva regolamentazione e, nell'ipotesi in cui cadano in un giorno non lavorativo per il sistema bancario, il primo giorno lavorativo precedente.</w:t>
            </w:r>
          </w:p>
        </w:tc>
        <w:tc>
          <w:tcPr>
            <w:tcW w:w="1417" w:type="dxa"/>
          </w:tcPr>
          <w:p w:rsidR="00E00674" w:rsidRPr="00110345" w:rsidRDefault="00E00674" w:rsidP="005C651E">
            <w:r w:rsidRPr="00110345">
              <w:t>Art.8</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24237" w:rsidP="00E0546D">
            <w:pPr>
              <w:autoSpaceDE w:val="0"/>
              <w:autoSpaceDN w:val="0"/>
              <w:adjustRightInd w:val="0"/>
              <w:jc w:val="both"/>
            </w:pPr>
            <w:r>
              <w:t>48</w:t>
            </w:r>
          </w:p>
        </w:tc>
        <w:tc>
          <w:tcPr>
            <w:tcW w:w="6237" w:type="dxa"/>
          </w:tcPr>
          <w:p w:rsidR="00E00674" w:rsidRPr="00110345" w:rsidRDefault="00E00674" w:rsidP="00E0546D">
            <w:pPr>
              <w:autoSpaceDE w:val="0"/>
              <w:autoSpaceDN w:val="0"/>
              <w:adjustRightInd w:val="0"/>
              <w:jc w:val="both"/>
              <w:rPr>
                <w:sz w:val="24"/>
              </w:rPr>
            </w:pPr>
            <w:r w:rsidRPr="00110345">
              <w:rPr>
                <w:sz w:val="24"/>
              </w:rPr>
              <w:t>Accredito degli stipendi sui conti correnti dei dipendenti universitari con valuta dello stesso giorno di pagamento.</w:t>
            </w:r>
          </w:p>
        </w:tc>
        <w:tc>
          <w:tcPr>
            <w:tcW w:w="1417" w:type="dxa"/>
          </w:tcPr>
          <w:p w:rsidR="00E00674" w:rsidRPr="00110345" w:rsidRDefault="00E00674" w:rsidP="005C651E">
            <w:r w:rsidRPr="00110345">
              <w:t>Art.8</w:t>
            </w:r>
          </w:p>
        </w:tc>
        <w:tc>
          <w:tcPr>
            <w:tcW w:w="709" w:type="dxa"/>
          </w:tcPr>
          <w:p w:rsidR="00E00674" w:rsidRPr="00110345" w:rsidRDefault="00E00674" w:rsidP="005C651E"/>
        </w:tc>
        <w:tc>
          <w:tcPr>
            <w:tcW w:w="567" w:type="dxa"/>
          </w:tcPr>
          <w:p w:rsidR="00E00674" w:rsidRPr="00110345" w:rsidRDefault="00E00674" w:rsidP="005C651E"/>
        </w:tc>
      </w:tr>
      <w:tr w:rsidR="005310B6" w:rsidRPr="00110345" w:rsidTr="00E00674">
        <w:tc>
          <w:tcPr>
            <w:tcW w:w="426" w:type="dxa"/>
          </w:tcPr>
          <w:p w:rsidR="005310B6" w:rsidRDefault="005310B6" w:rsidP="00E0546D">
            <w:pPr>
              <w:autoSpaceDE w:val="0"/>
              <w:autoSpaceDN w:val="0"/>
              <w:adjustRightInd w:val="0"/>
              <w:jc w:val="both"/>
            </w:pPr>
            <w:r>
              <w:t>49</w:t>
            </w:r>
          </w:p>
        </w:tc>
        <w:tc>
          <w:tcPr>
            <w:tcW w:w="6237" w:type="dxa"/>
          </w:tcPr>
          <w:p w:rsidR="005310B6" w:rsidRPr="00846D08" w:rsidRDefault="005310B6" w:rsidP="005310B6">
            <w:pPr>
              <w:autoSpaceDE w:val="0"/>
              <w:autoSpaceDN w:val="0"/>
              <w:adjustRightInd w:val="0"/>
              <w:jc w:val="both"/>
              <w:rPr>
                <w:sz w:val="24"/>
              </w:rPr>
            </w:pPr>
            <w:r w:rsidRPr="00846D08">
              <w:rPr>
                <w:sz w:val="24"/>
              </w:rPr>
              <w:t xml:space="preserve">L'Università farà avere all’Aggiudicatario il flusso telematico relativo ai pagamenti netti entro il </w:t>
            </w:r>
            <w:r w:rsidR="009D7B48" w:rsidRPr="00846D08">
              <w:rPr>
                <w:sz w:val="24"/>
              </w:rPr>
              <w:t>secondo</w:t>
            </w:r>
            <w:r w:rsidRPr="00846D08">
              <w:rPr>
                <w:sz w:val="24"/>
              </w:rPr>
              <w:t xml:space="preserve"> giorno lavorativo precedente a quello di accredito dello stipendio e il flusso telematico relativo ai pagamenti dei versamenti di legge</w:t>
            </w:r>
            <w:r w:rsidR="00846D08" w:rsidRPr="00846D08">
              <w:rPr>
                <w:sz w:val="24"/>
              </w:rPr>
              <w:t xml:space="preserve"> da effettuare tramite F24 EP, </w:t>
            </w:r>
            <w:r w:rsidRPr="00846D08">
              <w:rPr>
                <w:sz w:val="24"/>
              </w:rPr>
              <w:t xml:space="preserve">entro le ore 16.00 del </w:t>
            </w:r>
            <w:r w:rsidR="009D7B48" w:rsidRPr="00846D08">
              <w:rPr>
                <w:sz w:val="24"/>
              </w:rPr>
              <w:t>terzo</w:t>
            </w:r>
            <w:r w:rsidRPr="00846D08">
              <w:rPr>
                <w:sz w:val="24"/>
              </w:rPr>
              <w:t xml:space="preserve"> giorno lavorativo precedente a quello di versamento.</w:t>
            </w:r>
          </w:p>
          <w:p w:rsidR="005310B6" w:rsidRPr="00846D08" w:rsidRDefault="005310B6" w:rsidP="005310B6">
            <w:pPr>
              <w:autoSpaceDE w:val="0"/>
              <w:autoSpaceDN w:val="0"/>
              <w:adjustRightInd w:val="0"/>
              <w:jc w:val="both"/>
              <w:rPr>
                <w:sz w:val="24"/>
              </w:rPr>
            </w:pPr>
            <w:r w:rsidRPr="00846D08">
              <w:rPr>
                <w:sz w:val="24"/>
              </w:rPr>
              <w:t>In sede di offerta potrà essere indicato un numero di giorni minore, oggetto di valutazione dell’offerta tecnica; in tale caso l'Università farà avere all’Aggiudicatario il flusso telematico relativo ai pagamenti netti e ai versamenti di legge, secondo i termini previsti nell’offerta.</w:t>
            </w:r>
          </w:p>
        </w:tc>
        <w:tc>
          <w:tcPr>
            <w:tcW w:w="1417" w:type="dxa"/>
          </w:tcPr>
          <w:p w:rsidR="005310B6" w:rsidRPr="00110345" w:rsidRDefault="005310B6" w:rsidP="005C651E">
            <w:r w:rsidRPr="005310B6">
              <w:t>Art.8</w:t>
            </w:r>
          </w:p>
        </w:tc>
        <w:tc>
          <w:tcPr>
            <w:tcW w:w="709" w:type="dxa"/>
          </w:tcPr>
          <w:p w:rsidR="005310B6" w:rsidRPr="00110345" w:rsidRDefault="005310B6" w:rsidP="005C651E"/>
        </w:tc>
        <w:tc>
          <w:tcPr>
            <w:tcW w:w="567" w:type="dxa"/>
          </w:tcPr>
          <w:p w:rsidR="005310B6" w:rsidRPr="00110345" w:rsidRDefault="005310B6" w:rsidP="005C651E"/>
        </w:tc>
      </w:tr>
      <w:tr w:rsidR="005310B6" w:rsidRPr="00110345" w:rsidTr="00E00674">
        <w:tc>
          <w:tcPr>
            <w:tcW w:w="426" w:type="dxa"/>
          </w:tcPr>
          <w:p w:rsidR="005310B6" w:rsidRDefault="005310B6" w:rsidP="00E0546D">
            <w:pPr>
              <w:autoSpaceDE w:val="0"/>
              <w:autoSpaceDN w:val="0"/>
              <w:adjustRightInd w:val="0"/>
              <w:jc w:val="both"/>
            </w:pPr>
            <w:r>
              <w:t>50</w:t>
            </w:r>
          </w:p>
        </w:tc>
        <w:tc>
          <w:tcPr>
            <w:tcW w:w="6237" w:type="dxa"/>
          </w:tcPr>
          <w:p w:rsidR="005310B6" w:rsidRPr="00846D08" w:rsidRDefault="005310B6" w:rsidP="005310B6">
            <w:pPr>
              <w:autoSpaceDE w:val="0"/>
              <w:autoSpaceDN w:val="0"/>
              <w:adjustRightInd w:val="0"/>
              <w:jc w:val="both"/>
              <w:rPr>
                <w:sz w:val="24"/>
              </w:rPr>
            </w:pPr>
            <w:r w:rsidRPr="00846D08">
              <w:rPr>
                <w:sz w:val="24"/>
              </w:rPr>
              <w:t>Emissione  successiva degli ordinativi informatici per la regolarizzazione degli importi versati.</w:t>
            </w:r>
          </w:p>
        </w:tc>
        <w:tc>
          <w:tcPr>
            <w:tcW w:w="1417" w:type="dxa"/>
          </w:tcPr>
          <w:p w:rsidR="005310B6" w:rsidRPr="005310B6" w:rsidRDefault="00892842" w:rsidP="005C651E">
            <w:r w:rsidRPr="00892842">
              <w:t>Art.8</w:t>
            </w:r>
          </w:p>
        </w:tc>
        <w:tc>
          <w:tcPr>
            <w:tcW w:w="709" w:type="dxa"/>
          </w:tcPr>
          <w:p w:rsidR="005310B6" w:rsidRPr="00110345" w:rsidRDefault="005310B6" w:rsidP="005C651E"/>
        </w:tc>
        <w:tc>
          <w:tcPr>
            <w:tcW w:w="567" w:type="dxa"/>
          </w:tcPr>
          <w:p w:rsidR="005310B6" w:rsidRPr="00110345" w:rsidRDefault="005310B6" w:rsidP="005C651E"/>
        </w:tc>
      </w:tr>
      <w:tr w:rsidR="005310B6" w:rsidRPr="00110345" w:rsidTr="00E00674">
        <w:tc>
          <w:tcPr>
            <w:tcW w:w="426" w:type="dxa"/>
          </w:tcPr>
          <w:p w:rsidR="005310B6" w:rsidRDefault="005310B6" w:rsidP="00E0546D">
            <w:pPr>
              <w:autoSpaceDE w:val="0"/>
              <w:autoSpaceDN w:val="0"/>
              <w:adjustRightInd w:val="0"/>
              <w:jc w:val="both"/>
            </w:pPr>
            <w:r>
              <w:t>51</w:t>
            </w:r>
          </w:p>
        </w:tc>
        <w:tc>
          <w:tcPr>
            <w:tcW w:w="6237" w:type="dxa"/>
          </w:tcPr>
          <w:p w:rsidR="005310B6" w:rsidRPr="00846D08" w:rsidRDefault="005310B6" w:rsidP="005310B6">
            <w:pPr>
              <w:autoSpaceDE w:val="0"/>
              <w:autoSpaceDN w:val="0"/>
              <w:adjustRightInd w:val="0"/>
              <w:jc w:val="both"/>
              <w:rPr>
                <w:sz w:val="24"/>
              </w:rPr>
            </w:pPr>
            <w:r w:rsidRPr="00846D08">
              <w:rPr>
                <w:sz w:val="24"/>
              </w:rPr>
              <w:t>L’Aggiudicatario assume altresì l'obbligo di procedere ai pagamenti inframensili ai dipendenti di spettanze diverse a semplice richiesta dell'Università</w:t>
            </w:r>
            <w:r w:rsidR="00846D08" w:rsidRPr="00846D08">
              <w:rPr>
                <w:sz w:val="24"/>
              </w:rPr>
              <w:t>.</w:t>
            </w:r>
          </w:p>
        </w:tc>
        <w:tc>
          <w:tcPr>
            <w:tcW w:w="1417" w:type="dxa"/>
          </w:tcPr>
          <w:p w:rsidR="005310B6" w:rsidRPr="005310B6" w:rsidRDefault="00892842" w:rsidP="005C651E">
            <w:r w:rsidRPr="00892842">
              <w:t>Art.8</w:t>
            </w:r>
          </w:p>
        </w:tc>
        <w:tc>
          <w:tcPr>
            <w:tcW w:w="709" w:type="dxa"/>
          </w:tcPr>
          <w:p w:rsidR="005310B6" w:rsidRPr="00110345" w:rsidRDefault="005310B6" w:rsidP="005C651E"/>
        </w:tc>
        <w:tc>
          <w:tcPr>
            <w:tcW w:w="567" w:type="dxa"/>
          </w:tcPr>
          <w:p w:rsidR="005310B6" w:rsidRPr="00110345" w:rsidRDefault="005310B6" w:rsidP="005C651E"/>
        </w:tc>
      </w:tr>
      <w:tr w:rsidR="00110345" w:rsidRPr="00110345" w:rsidTr="00E00674">
        <w:tc>
          <w:tcPr>
            <w:tcW w:w="426" w:type="dxa"/>
          </w:tcPr>
          <w:p w:rsidR="00E00674" w:rsidRPr="00110345" w:rsidRDefault="00BB6E5A" w:rsidP="00E0546D">
            <w:pPr>
              <w:autoSpaceDE w:val="0"/>
              <w:autoSpaceDN w:val="0"/>
              <w:adjustRightInd w:val="0"/>
              <w:jc w:val="both"/>
            </w:pPr>
            <w:r>
              <w:t>52</w:t>
            </w:r>
          </w:p>
        </w:tc>
        <w:tc>
          <w:tcPr>
            <w:tcW w:w="6237" w:type="dxa"/>
          </w:tcPr>
          <w:p w:rsidR="00E00674" w:rsidRPr="00110345" w:rsidRDefault="00E00674" w:rsidP="00D42F35">
            <w:pPr>
              <w:autoSpaceDE w:val="0"/>
              <w:autoSpaceDN w:val="0"/>
              <w:adjustRightInd w:val="0"/>
              <w:jc w:val="both"/>
              <w:rPr>
                <w:sz w:val="24"/>
              </w:rPr>
            </w:pPr>
            <w:r w:rsidRPr="00110345">
              <w:rPr>
                <w:sz w:val="24"/>
              </w:rPr>
              <w:t>Nessun onere finanziario a carico dell'Università e dei dipendenti  per il pagamento degli stipendi e per gli eventuali pagamenti inframensili a personale,  anche in caso di bonifici nazionali ed esteri sia verso paesi UE che extra UE.</w:t>
            </w:r>
          </w:p>
        </w:tc>
        <w:tc>
          <w:tcPr>
            <w:tcW w:w="1417" w:type="dxa"/>
          </w:tcPr>
          <w:p w:rsidR="00E00674" w:rsidRPr="00110345" w:rsidRDefault="00E00674" w:rsidP="005C651E">
            <w:r w:rsidRPr="00110345">
              <w:t>Art.8</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B6E5A" w:rsidP="00E0546D">
            <w:pPr>
              <w:autoSpaceDE w:val="0"/>
              <w:autoSpaceDN w:val="0"/>
              <w:adjustRightInd w:val="0"/>
              <w:jc w:val="both"/>
            </w:pPr>
            <w:r>
              <w:lastRenderedPageBreak/>
              <w:t>53</w:t>
            </w:r>
          </w:p>
        </w:tc>
        <w:tc>
          <w:tcPr>
            <w:tcW w:w="6237" w:type="dxa"/>
          </w:tcPr>
          <w:p w:rsidR="00E00674" w:rsidRPr="00110345" w:rsidRDefault="00E00674" w:rsidP="00E0546D">
            <w:pPr>
              <w:autoSpaceDE w:val="0"/>
              <w:autoSpaceDN w:val="0"/>
              <w:adjustRightInd w:val="0"/>
              <w:jc w:val="both"/>
              <w:rPr>
                <w:sz w:val="24"/>
              </w:rPr>
            </w:pPr>
            <w:r w:rsidRPr="00110345">
              <w:rPr>
                <w:sz w:val="24"/>
              </w:rPr>
              <w:t>Versamenti delle ritenute tramite modello F24EP e tramite bonifico bancario. Per le ritenute il cui versamento è soggetto a compilazione del modello F24EP, il pagamento dovrà essere effettuato sulla base del modello stesso, e successivamente sarà regolarizzato tramite ordinativo.</w:t>
            </w:r>
          </w:p>
        </w:tc>
        <w:tc>
          <w:tcPr>
            <w:tcW w:w="1417" w:type="dxa"/>
          </w:tcPr>
          <w:p w:rsidR="00E00674" w:rsidRPr="00110345" w:rsidRDefault="00E00674" w:rsidP="005C651E">
            <w:r w:rsidRPr="00110345">
              <w:t>Art.8</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B6E5A" w:rsidP="005C651E">
            <w:pPr>
              <w:autoSpaceDE w:val="0"/>
              <w:autoSpaceDN w:val="0"/>
              <w:adjustRightInd w:val="0"/>
              <w:jc w:val="both"/>
            </w:pPr>
            <w:r>
              <w:t>54</w:t>
            </w:r>
          </w:p>
        </w:tc>
        <w:tc>
          <w:tcPr>
            <w:tcW w:w="6237" w:type="dxa"/>
          </w:tcPr>
          <w:p w:rsidR="00E00674" w:rsidRPr="00110345" w:rsidRDefault="00E00674" w:rsidP="005C651E">
            <w:pPr>
              <w:autoSpaceDE w:val="0"/>
              <w:autoSpaceDN w:val="0"/>
              <w:adjustRightInd w:val="0"/>
              <w:jc w:val="both"/>
              <w:rPr>
                <w:sz w:val="24"/>
              </w:rPr>
            </w:pPr>
            <w:r w:rsidRPr="00110345">
              <w:rPr>
                <w:sz w:val="24"/>
              </w:rPr>
              <w:t>Disponibilità entro 30 giorni dalla richiesta dell’Ateneo di carte di credito aziendali fino ad un massimo di 20, sul conto corrente dell’Ateneo</w:t>
            </w:r>
          </w:p>
        </w:tc>
        <w:tc>
          <w:tcPr>
            <w:tcW w:w="1417" w:type="dxa"/>
          </w:tcPr>
          <w:p w:rsidR="00E00674" w:rsidRPr="00110345" w:rsidRDefault="00E00674" w:rsidP="005C651E">
            <w:r w:rsidRPr="00110345">
              <w:t>Art. 9</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B6E5A" w:rsidP="005C651E">
            <w:pPr>
              <w:autoSpaceDE w:val="0"/>
              <w:autoSpaceDN w:val="0"/>
              <w:adjustRightInd w:val="0"/>
              <w:jc w:val="both"/>
            </w:pPr>
            <w:r>
              <w:t>55</w:t>
            </w:r>
          </w:p>
        </w:tc>
        <w:tc>
          <w:tcPr>
            <w:tcW w:w="6237" w:type="dxa"/>
          </w:tcPr>
          <w:p w:rsidR="00E00674" w:rsidRPr="00110345" w:rsidRDefault="00E00674" w:rsidP="00B6202B">
            <w:pPr>
              <w:autoSpaceDE w:val="0"/>
              <w:autoSpaceDN w:val="0"/>
              <w:adjustRightInd w:val="0"/>
              <w:jc w:val="both"/>
              <w:rPr>
                <w:sz w:val="24"/>
              </w:rPr>
            </w:pPr>
            <w:r w:rsidRPr="00110345">
              <w:rPr>
                <w:sz w:val="24"/>
              </w:rPr>
              <w:t xml:space="preserve">Custodia </w:t>
            </w:r>
            <w:r w:rsidR="00B6202B" w:rsidRPr="00110345">
              <w:rPr>
                <w:sz w:val="24"/>
              </w:rPr>
              <w:t xml:space="preserve">presso </w:t>
            </w:r>
            <w:r w:rsidRPr="00110345">
              <w:rPr>
                <w:sz w:val="24"/>
              </w:rPr>
              <w:t>l’Aggiudicatario di titoli di credito, tanto di proprietà quanto depositati da terzi per conto dell’Università-Amministrazione centrale, a condizione però che essi siano in regola con le vigenti disposizioni di legge.</w:t>
            </w:r>
          </w:p>
        </w:tc>
        <w:tc>
          <w:tcPr>
            <w:tcW w:w="1417" w:type="dxa"/>
          </w:tcPr>
          <w:p w:rsidR="00E00674" w:rsidRPr="00110345" w:rsidRDefault="00E00674" w:rsidP="005C651E">
            <w:r w:rsidRPr="00110345">
              <w:t>Art. 10</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B6E5A" w:rsidP="005C651E">
            <w:pPr>
              <w:autoSpaceDE w:val="0"/>
              <w:autoSpaceDN w:val="0"/>
              <w:adjustRightInd w:val="0"/>
              <w:jc w:val="both"/>
            </w:pPr>
            <w:r>
              <w:t>56</w:t>
            </w:r>
          </w:p>
        </w:tc>
        <w:tc>
          <w:tcPr>
            <w:tcW w:w="6237" w:type="dxa"/>
          </w:tcPr>
          <w:p w:rsidR="00E00674" w:rsidRPr="00110345" w:rsidRDefault="00E00674" w:rsidP="00D42F35">
            <w:pPr>
              <w:jc w:val="both"/>
              <w:rPr>
                <w:sz w:val="24"/>
              </w:rPr>
            </w:pPr>
            <w:r w:rsidRPr="00110345">
              <w:rPr>
                <w:sz w:val="24"/>
              </w:rPr>
              <w:t>Servizio reso senza interruzioni dal 1° gennaio al 31 dicembre per ogni anno di durata della convenzione.</w:t>
            </w:r>
          </w:p>
        </w:tc>
        <w:tc>
          <w:tcPr>
            <w:tcW w:w="1417" w:type="dxa"/>
          </w:tcPr>
          <w:p w:rsidR="00E00674" w:rsidRPr="00110345" w:rsidRDefault="00E00674" w:rsidP="005C651E">
            <w:r w:rsidRPr="00110345">
              <w:t>Art.11</w:t>
            </w:r>
          </w:p>
        </w:tc>
        <w:tc>
          <w:tcPr>
            <w:tcW w:w="709" w:type="dxa"/>
          </w:tcPr>
          <w:p w:rsidR="00E00674" w:rsidRPr="00110345" w:rsidRDefault="00E00674" w:rsidP="005C651E"/>
        </w:tc>
        <w:tc>
          <w:tcPr>
            <w:tcW w:w="567" w:type="dxa"/>
          </w:tcPr>
          <w:p w:rsidR="00E00674" w:rsidRPr="00110345" w:rsidRDefault="00E00674" w:rsidP="005C651E"/>
        </w:tc>
      </w:tr>
      <w:tr w:rsidR="00110345" w:rsidRPr="00110345" w:rsidTr="00E00674">
        <w:tc>
          <w:tcPr>
            <w:tcW w:w="426" w:type="dxa"/>
          </w:tcPr>
          <w:p w:rsidR="00E00674" w:rsidRPr="00110345" w:rsidRDefault="00BB6E5A" w:rsidP="00DD5A1B">
            <w:pPr>
              <w:autoSpaceDE w:val="0"/>
              <w:autoSpaceDN w:val="0"/>
              <w:adjustRightInd w:val="0"/>
              <w:jc w:val="both"/>
            </w:pPr>
            <w:r>
              <w:t>57</w:t>
            </w:r>
          </w:p>
        </w:tc>
        <w:tc>
          <w:tcPr>
            <w:tcW w:w="6237" w:type="dxa"/>
          </w:tcPr>
          <w:p w:rsidR="00E00674" w:rsidRPr="00110345" w:rsidRDefault="00E00674" w:rsidP="00D42F35">
            <w:pPr>
              <w:autoSpaceDE w:val="0"/>
              <w:autoSpaceDN w:val="0"/>
              <w:adjustRightInd w:val="0"/>
              <w:jc w:val="both"/>
              <w:rPr>
                <w:sz w:val="24"/>
              </w:rPr>
            </w:pPr>
            <w:r w:rsidRPr="00110345">
              <w:rPr>
                <w:sz w:val="24"/>
              </w:rPr>
              <w:t>Nessun onere aggiuntivo addebitato all’Università, al di fuori di quanto stabilito in sede di offerta, fatta salva la ripetizione delle spese vive sostenute (spese postali, bolli, ecc.).</w:t>
            </w:r>
          </w:p>
        </w:tc>
        <w:tc>
          <w:tcPr>
            <w:tcW w:w="1417" w:type="dxa"/>
          </w:tcPr>
          <w:p w:rsidR="00E00674" w:rsidRPr="00110345" w:rsidRDefault="00E00674" w:rsidP="00DD5A1B">
            <w:r w:rsidRPr="00110345">
              <w:t>Art.11</w:t>
            </w:r>
          </w:p>
        </w:tc>
        <w:tc>
          <w:tcPr>
            <w:tcW w:w="709" w:type="dxa"/>
          </w:tcPr>
          <w:p w:rsidR="00E00674" w:rsidRPr="00110345" w:rsidRDefault="00E00674" w:rsidP="00DD5A1B"/>
        </w:tc>
        <w:tc>
          <w:tcPr>
            <w:tcW w:w="567" w:type="dxa"/>
          </w:tcPr>
          <w:p w:rsidR="00E00674" w:rsidRPr="00110345" w:rsidRDefault="00E00674" w:rsidP="00DD5A1B"/>
        </w:tc>
      </w:tr>
      <w:tr w:rsidR="00110345" w:rsidRPr="00110345" w:rsidTr="00E00674">
        <w:tc>
          <w:tcPr>
            <w:tcW w:w="426" w:type="dxa"/>
          </w:tcPr>
          <w:p w:rsidR="00E00674" w:rsidRPr="00110345" w:rsidRDefault="00BB6E5A" w:rsidP="00DD5A1B">
            <w:pPr>
              <w:autoSpaceDE w:val="0"/>
              <w:autoSpaceDN w:val="0"/>
              <w:adjustRightInd w:val="0"/>
              <w:jc w:val="both"/>
            </w:pPr>
            <w:r>
              <w:t>58</w:t>
            </w:r>
          </w:p>
        </w:tc>
        <w:tc>
          <w:tcPr>
            <w:tcW w:w="6237" w:type="dxa"/>
          </w:tcPr>
          <w:p w:rsidR="00E00674" w:rsidRPr="00110345" w:rsidRDefault="00E00674" w:rsidP="00DD5A1B">
            <w:pPr>
              <w:autoSpaceDE w:val="0"/>
              <w:autoSpaceDN w:val="0"/>
              <w:adjustRightInd w:val="0"/>
              <w:jc w:val="both"/>
              <w:rPr>
                <w:sz w:val="24"/>
              </w:rPr>
            </w:pPr>
            <w:r w:rsidRPr="00110345">
              <w:rPr>
                <w:sz w:val="24"/>
              </w:rPr>
              <w:t>Nessuna commissione di nessun genere a carico dell’Università e dei creditori e debitori dell’Università</w:t>
            </w:r>
          </w:p>
        </w:tc>
        <w:tc>
          <w:tcPr>
            <w:tcW w:w="1417" w:type="dxa"/>
          </w:tcPr>
          <w:p w:rsidR="00E00674" w:rsidRPr="00110345" w:rsidRDefault="00E00674" w:rsidP="00DD5A1B">
            <w:r w:rsidRPr="00110345">
              <w:t>Art.11</w:t>
            </w:r>
          </w:p>
        </w:tc>
        <w:tc>
          <w:tcPr>
            <w:tcW w:w="709" w:type="dxa"/>
          </w:tcPr>
          <w:p w:rsidR="00E00674" w:rsidRPr="00110345" w:rsidRDefault="00E00674" w:rsidP="00DD5A1B"/>
        </w:tc>
        <w:tc>
          <w:tcPr>
            <w:tcW w:w="567" w:type="dxa"/>
          </w:tcPr>
          <w:p w:rsidR="00E00674" w:rsidRPr="00110345" w:rsidRDefault="00E00674" w:rsidP="00DD5A1B"/>
        </w:tc>
      </w:tr>
      <w:tr w:rsidR="00110345" w:rsidRPr="00110345" w:rsidTr="00E00674">
        <w:tc>
          <w:tcPr>
            <w:tcW w:w="426" w:type="dxa"/>
          </w:tcPr>
          <w:p w:rsidR="00E00674" w:rsidRPr="00110345" w:rsidRDefault="00BB6E5A" w:rsidP="00DD5A1B">
            <w:pPr>
              <w:autoSpaceDE w:val="0"/>
              <w:autoSpaceDN w:val="0"/>
              <w:adjustRightInd w:val="0"/>
              <w:jc w:val="both"/>
            </w:pPr>
            <w:r>
              <w:t>59</w:t>
            </w:r>
          </w:p>
        </w:tc>
        <w:tc>
          <w:tcPr>
            <w:tcW w:w="6237" w:type="dxa"/>
          </w:tcPr>
          <w:p w:rsidR="00E00674" w:rsidRPr="00110345" w:rsidRDefault="00E00674" w:rsidP="00DD5A1B">
            <w:pPr>
              <w:jc w:val="both"/>
              <w:rPr>
                <w:sz w:val="24"/>
              </w:rPr>
            </w:pPr>
            <w:r w:rsidRPr="00110345">
              <w:rPr>
                <w:sz w:val="24"/>
              </w:rPr>
              <w:t xml:space="preserve">Individuazione, prima dell’inizio del servizio, di due Referenti, di cui uno tecnico per l’assistenza e la manutenzione dei servizi, con il compito di gestire e risolvere tempestivamente eventuali problemi o disservizi di qualunque natura, che si presentino nel corso dell’esecuzione del contratto. </w:t>
            </w:r>
          </w:p>
        </w:tc>
        <w:tc>
          <w:tcPr>
            <w:tcW w:w="1417" w:type="dxa"/>
          </w:tcPr>
          <w:p w:rsidR="00E00674" w:rsidRPr="00110345" w:rsidRDefault="00E00674" w:rsidP="00DD5A1B">
            <w:r w:rsidRPr="00110345">
              <w:t>Art.16</w:t>
            </w:r>
          </w:p>
        </w:tc>
        <w:tc>
          <w:tcPr>
            <w:tcW w:w="709" w:type="dxa"/>
          </w:tcPr>
          <w:p w:rsidR="00E00674" w:rsidRPr="00110345" w:rsidRDefault="00E00674" w:rsidP="00DD5A1B"/>
        </w:tc>
        <w:tc>
          <w:tcPr>
            <w:tcW w:w="567" w:type="dxa"/>
          </w:tcPr>
          <w:p w:rsidR="00E00674" w:rsidRPr="00110345" w:rsidRDefault="00E00674" w:rsidP="00DD5A1B"/>
        </w:tc>
      </w:tr>
      <w:tr w:rsidR="00110345" w:rsidRPr="00110345" w:rsidTr="00E00674">
        <w:tc>
          <w:tcPr>
            <w:tcW w:w="426" w:type="dxa"/>
          </w:tcPr>
          <w:p w:rsidR="00E00674" w:rsidRPr="00110345" w:rsidRDefault="00BB6E5A" w:rsidP="00DD5A1B">
            <w:pPr>
              <w:autoSpaceDE w:val="0"/>
              <w:autoSpaceDN w:val="0"/>
              <w:adjustRightInd w:val="0"/>
              <w:jc w:val="both"/>
            </w:pPr>
            <w:r>
              <w:t>60</w:t>
            </w:r>
          </w:p>
        </w:tc>
        <w:tc>
          <w:tcPr>
            <w:tcW w:w="6237" w:type="dxa"/>
          </w:tcPr>
          <w:p w:rsidR="00E00674" w:rsidRPr="00110345" w:rsidRDefault="00E00674" w:rsidP="00DD5A1B">
            <w:pPr>
              <w:jc w:val="both"/>
              <w:rPr>
                <w:sz w:val="24"/>
              </w:rPr>
            </w:pPr>
            <w:r w:rsidRPr="00110345">
              <w:rPr>
                <w:sz w:val="24"/>
              </w:rPr>
              <w:t>Obbligo alla scadenza della convenzione di consentire al nuovo Aggiudicatario di subentrare piena</w:t>
            </w:r>
            <w:smartTag w:uri="urn:schemas-microsoft-com:office:smarttags" w:element="PersonName">
              <w:r w:rsidRPr="00110345">
                <w:rPr>
                  <w:sz w:val="24"/>
                </w:rPr>
                <w:t>me</w:t>
              </w:r>
            </w:smartTag>
            <w:r w:rsidRPr="00110345">
              <w:rPr>
                <w:sz w:val="24"/>
              </w:rPr>
              <w:t>nte nella gestione del servizio.</w:t>
            </w:r>
          </w:p>
        </w:tc>
        <w:tc>
          <w:tcPr>
            <w:tcW w:w="1417" w:type="dxa"/>
          </w:tcPr>
          <w:p w:rsidR="00E00674" w:rsidRPr="00110345" w:rsidRDefault="00E00674" w:rsidP="00DD5A1B">
            <w:r w:rsidRPr="00110345">
              <w:t>Art.18</w:t>
            </w:r>
          </w:p>
        </w:tc>
        <w:tc>
          <w:tcPr>
            <w:tcW w:w="709" w:type="dxa"/>
          </w:tcPr>
          <w:p w:rsidR="00E00674" w:rsidRPr="00110345" w:rsidRDefault="00E00674" w:rsidP="00DD5A1B"/>
        </w:tc>
        <w:tc>
          <w:tcPr>
            <w:tcW w:w="567" w:type="dxa"/>
          </w:tcPr>
          <w:p w:rsidR="00E00674" w:rsidRPr="00110345" w:rsidRDefault="00E00674" w:rsidP="00DD5A1B"/>
        </w:tc>
      </w:tr>
      <w:tr w:rsidR="00110345" w:rsidRPr="00110345" w:rsidTr="00E00674">
        <w:tc>
          <w:tcPr>
            <w:tcW w:w="426" w:type="dxa"/>
          </w:tcPr>
          <w:p w:rsidR="00E00674" w:rsidRPr="00110345" w:rsidRDefault="00BB6E5A" w:rsidP="00DD5A1B">
            <w:pPr>
              <w:autoSpaceDE w:val="0"/>
              <w:autoSpaceDN w:val="0"/>
              <w:adjustRightInd w:val="0"/>
              <w:jc w:val="both"/>
            </w:pPr>
            <w:r>
              <w:t>61</w:t>
            </w:r>
          </w:p>
        </w:tc>
        <w:tc>
          <w:tcPr>
            <w:tcW w:w="6237" w:type="dxa"/>
          </w:tcPr>
          <w:p w:rsidR="00E00674" w:rsidRPr="00110345" w:rsidRDefault="00E00674" w:rsidP="00DD5A1B">
            <w:pPr>
              <w:jc w:val="both"/>
              <w:rPr>
                <w:sz w:val="24"/>
              </w:rPr>
            </w:pPr>
            <w:r w:rsidRPr="00110345">
              <w:rPr>
                <w:sz w:val="24"/>
              </w:rPr>
              <w:t>Obbligo di consentire che un’eventuale esposizione nei suoi confronti per anticipazioni effettuate venga assunta dall’Aggiudicatario subentrante.</w:t>
            </w:r>
          </w:p>
        </w:tc>
        <w:tc>
          <w:tcPr>
            <w:tcW w:w="1417" w:type="dxa"/>
          </w:tcPr>
          <w:p w:rsidR="00E00674" w:rsidRPr="00110345" w:rsidRDefault="00E00674" w:rsidP="00DD5A1B">
            <w:r w:rsidRPr="00110345">
              <w:t>Art.18</w:t>
            </w:r>
          </w:p>
        </w:tc>
        <w:tc>
          <w:tcPr>
            <w:tcW w:w="709" w:type="dxa"/>
          </w:tcPr>
          <w:p w:rsidR="00E00674" w:rsidRPr="00110345" w:rsidRDefault="00E00674" w:rsidP="00DD5A1B"/>
        </w:tc>
        <w:tc>
          <w:tcPr>
            <w:tcW w:w="567" w:type="dxa"/>
          </w:tcPr>
          <w:p w:rsidR="00E00674" w:rsidRPr="00110345" w:rsidRDefault="00E00674" w:rsidP="00DD5A1B"/>
        </w:tc>
      </w:tr>
    </w:tbl>
    <w:p w:rsidR="00E50672" w:rsidRDefault="00E50672" w:rsidP="007C627C">
      <w:pPr>
        <w:ind w:left="2832" w:firstLine="708"/>
      </w:pPr>
    </w:p>
    <w:p w:rsidR="009F192C" w:rsidRDefault="009F192C" w:rsidP="007C627C">
      <w:pPr>
        <w:ind w:left="2832" w:firstLine="708"/>
      </w:pPr>
    </w:p>
    <w:p w:rsidR="009F192C" w:rsidRDefault="009F192C" w:rsidP="007C627C">
      <w:pPr>
        <w:ind w:left="2832" w:firstLine="708"/>
      </w:pPr>
    </w:p>
    <w:p w:rsidR="009F192C" w:rsidRPr="009F192C" w:rsidRDefault="009F192C" w:rsidP="009F192C">
      <w:pPr>
        <w:spacing w:after="120" w:line="360" w:lineRule="auto"/>
        <w:jc w:val="both"/>
        <w:rPr>
          <w:sz w:val="24"/>
          <w:szCs w:val="24"/>
        </w:rPr>
      </w:pPr>
      <w:r w:rsidRPr="009F192C">
        <w:rPr>
          <w:sz w:val="24"/>
          <w:szCs w:val="24"/>
        </w:rPr>
        <w:t>Luogo e data</w:t>
      </w:r>
    </w:p>
    <w:p w:rsidR="009F192C" w:rsidRPr="009F192C" w:rsidRDefault="009F192C" w:rsidP="009F192C">
      <w:pPr>
        <w:spacing w:after="120" w:line="360" w:lineRule="auto"/>
        <w:jc w:val="both"/>
        <w:rPr>
          <w:sz w:val="24"/>
          <w:szCs w:val="24"/>
        </w:rPr>
      </w:pPr>
      <w:r w:rsidRPr="009F192C">
        <w:rPr>
          <w:sz w:val="24"/>
          <w:szCs w:val="24"/>
        </w:rPr>
        <w:t>_____________________</w:t>
      </w:r>
    </w:p>
    <w:p w:rsidR="009F192C" w:rsidRPr="009F192C" w:rsidRDefault="009F192C" w:rsidP="009F192C">
      <w:pPr>
        <w:spacing w:after="120" w:line="360" w:lineRule="auto"/>
        <w:jc w:val="both"/>
        <w:rPr>
          <w:sz w:val="24"/>
          <w:szCs w:val="24"/>
        </w:rPr>
      </w:pP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t xml:space="preserve">     IL DICHIARANTE </w:t>
      </w:r>
    </w:p>
    <w:p w:rsidR="009F192C" w:rsidRPr="009F192C" w:rsidRDefault="009F192C" w:rsidP="009F192C">
      <w:pPr>
        <w:spacing w:after="120" w:line="360" w:lineRule="auto"/>
        <w:jc w:val="both"/>
        <w:rPr>
          <w:sz w:val="24"/>
          <w:szCs w:val="24"/>
        </w:rPr>
      </w:pP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r>
      <w:r w:rsidRPr="009F192C">
        <w:rPr>
          <w:sz w:val="24"/>
          <w:szCs w:val="24"/>
        </w:rPr>
        <w:tab/>
        <w:t xml:space="preserve">   _________________</w:t>
      </w:r>
    </w:p>
    <w:p w:rsidR="009F192C" w:rsidRDefault="009F192C" w:rsidP="007C627C">
      <w:pPr>
        <w:ind w:left="2832" w:firstLine="708"/>
      </w:pPr>
    </w:p>
    <w:sectPr w:rsidR="009F192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D68" w:rsidRDefault="00B20D68" w:rsidP="00B20D68">
      <w:r>
        <w:separator/>
      </w:r>
    </w:p>
  </w:endnote>
  <w:endnote w:type="continuationSeparator" w:id="0">
    <w:p w:rsidR="00B20D68" w:rsidRDefault="00B20D68" w:rsidP="00B2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D68" w:rsidRDefault="00B20D68" w:rsidP="00B20D68">
      <w:r>
        <w:separator/>
      </w:r>
    </w:p>
  </w:footnote>
  <w:footnote w:type="continuationSeparator" w:id="0">
    <w:p w:rsidR="00B20D68" w:rsidRDefault="00B20D68" w:rsidP="00B20D68">
      <w:r>
        <w:continuationSeparator/>
      </w:r>
    </w:p>
  </w:footnote>
  <w:footnote w:id="1">
    <w:p w:rsidR="00B20D68" w:rsidRDefault="00B20D68" w:rsidP="00B20D68">
      <w:pPr>
        <w:pStyle w:val="Testonotaapidipagina"/>
      </w:pPr>
      <w:r>
        <w:rPr>
          <w:rStyle w:val="Rimandonotaapidipagina"/>
        </w:rPr>
        <w:footnoteRef/>
      </w:r>
      <w:r>
        <w:t xml:space="preserve"> Indicare la carica o la qualifica che conferiscono il potere di impegnare contrattualmente il concorrente.</w:t>
      </w:r>
    </w:p>
    <w:p w:rsidR="00B20D68" w:rsidRDefault="00B20D68" w:rsidP="00B20D68">
      <w:pPr>
        <w:pStyle w:val="Testonotaapidipagina"/>
      </w:pPr>
    </w:p>
    <w:p w:rsidR="00B20D68" w:rsidRDefault="00B20D68" w:rsidP="00B20D68">
      <w:pPr>
        <w:pStyle w:val="Testonotaapidipagina"/>
      </w:pPr>
    </w:p>
    <w:p w:rsidR="00B20D68" w:rsidRDefault="00B20D68" w:rsidP="00B20D68">
      <w:pPr>
        <w:pStyle w:val="Testonotaapidipagina"/>
      </w:pPr>
    </w:p>
    <w:p w:rsidR="00B20D68" w:rsidRDefault="00B20D68" w:rsidP="00B20D68">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554C3"/>
    <w:multiLevelType w:val="hybridMultilevel"/>
    <w:tmpl w:val="3F949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F30025"/>
    <w:multiLevelType w:val="hybridMultilevel"/>
    <w:tmpl w:val="2F10F8FC"/>
    <w:lvl w:ilvl="0" w:tplc="9964FE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8504BD"/>
    <w:multiLevelType w:val="hybridMultilevel"/>
    <w:tmpl w:val="E7B6F6B0"/>
    <w:lvl w:ilvl="0" w:tplc="FFFFFFFF">
      <w:start w:val="1"/>
      <w:numFmt w:val="decimal"/>
      <w:lvlText w:val="%1)"/>
      <w:lvlJc w:val="left"/>
      <w:pPr>
        <w:tabs>
          <w:tab w:val="num" w:pos="720"/>
        </w:tabs>
        <w:ind w:left="720" w:hanging="360"/>
      </w:pPr>
      <w:rPr>
        <w:rFonts w:hint="default"/>
        <w:b w:val="0"/>
        <w:i w:val="0"/>
      </w:rPr>
    </w:lvl>
    <w:lvl w:ilvl="1" w:tplc="6E3EAB42">
      <w:start w:val="1"/>
      <w:numFmt w:val="decimal"/>
      <w:lvlText w:val="%2."/>
      <w:lvlJc w:val="left"/>
      <w:pPr>
        <w:tabs>
          <w:tab w:val="num" w:pos="1440"/>
        </w:tabs>
        <w:ind w:left="1440" w:hanging="360"/>
      </w:pPr>
      <w:rPr>
        <w:rFonts w:hint="default"/>
        <w:b/>
      </w:rPr>
    </w:lvl>
    <w:lvl w:ilvl="2" w:tplc="0410000F">
      <w:start w:val="1"/>
      <w:numFmt w:val="decimal"/>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0FC290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19178C8"/>
    <w:multiLevelType w:val="hybridMultilevel"/>
    <w:tmpl w:val="B530797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7D41F40"/>
    <w:multiLevelType w:val="hybridMultilevel"/>
    <w:tmpl w:val="19E25B6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6" w15:restartNumberingAfterBreak="0">
    <w:nsid w:val="73B65372"/>
    <w:multiLevelType w:val="hybridMultilevel"/>
    <w:tmpl w:val="0EA0658C"/>
    <w:lvl w:ilvl="0" w:tplc="7AF6C9C0">
      <w:start w:val="1"/>
      <w:numFmt w:val="bullet"/>
      <w:lvlText w:val=""/>
      <w:lvlJc w:val="left"/>
      <w:pPr>
        <w:tabs>
          <w:tab w:val="num" w:pos="1321"/>
        </w:tabs>
        <w:ind w:left="1321" w:hanging="547"/>
      </w:pPr>
      <w:rPr>
        <w:rFonts w:ascii="Wingdings" w:hAnsi="Wingdings"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7794303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A237F8"/>
    <w:multiLevelType w:val="hybridMultilevel"/>
    <w:tmpl w:val="ED349EF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2"/>
  </w:num>
  <w:num w:numId="5">
    <w:abstractNumId w:val="8"/>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C8"/>
    <w:rsid w:val="00021EDC"/>
    <w:rsid w:val="00047ACB"/>
    <w:rsid w:val="00066FB0"/>
    <w:rsid w:val="000B7C10"/>
    <w:rsid w:val="000E7442"/>
    <w:rsid w:val="000F2DFD"/>
    <w:rsid w:val="00110345"/>
    <w:rsid w:val="001D22D0"/>
    <w:rsid w:val="001E2FE2"/>
    <w:rsid w:val="00230AD6"/>
    <w:rsid w:val="0026180D"/>
    <w:rsid w:val="002B07F4"/>
    <w:rsid w:val="002B5CC8"/>
    <w:rsid w:val="002C4245"/>
    <w:rsid w:val="002F1E81"/>
    <w:rsid w:val="003E3477"/>
    <w:rsid w:val="00412204"/>
    <w:rsid w:val="00435101"/>
    <w:rsid w:val="00453F39"/>
    <w:rsid w:val="00472412"/>
    <w:rsid w:val="004C4DFD"/>
    <w:rsid w:val="005310B6"/>
    <w:rsid w:val="005C651E"/>
    <w:rsid w:val="005F5BE4"/>
    <w:rsid w:val="0061761E"/>
    <w:rsid w:val="00650F6C"/>
    <w:rsid w:val="0069009A"/>
    <w:rsid w:val="007343B6"/>
    <w:rsid w:val="0075721B"/>
    <w:rsid w:val="007C627C"/>
    <w:rsid w:val="007F66E5"/>
    <w:rsid w:val="00807BD0"/>
    <w:rsid w:val="00846D08"/>
    <w:rsid w:val="00851554"/>
    <w:rsid w:val="00866933"/>
    <w:rsid w:val="00892842"/>
    <w:rsid w:val="008E754F"/>
    <w:rsid w:val="00940DB0"/>
    <w:rsid w:val="009649DE"/>
    <w:rsid w:val="009B4DF0"/>
    <w:rsid w:val="009D7B48"/>
    <w:rsid w:val="009F192C"/>
    <w:rsid w:val="00A25C75"/>
    <w:rsid w:val="00A61E2C"/>
    <w:rsid w:val="00A62E6F"/>
    <w:rsid w:val="00A96CB4"/>
    <w:rsid w:val="00B20D68"/>
    <w:rsid w:val="00B24237"/>
    <w:rsid w:val="00B55FBC"/>
    <w:rsid w:val="00B6202B"/>
    <w:rsid w:val="00B67F1D"/>
    <w:rsid w:val="00B92B05"/>
    <w:rsid w:val="00BB6E5A"/>
    <w:rsid w:val="00BC5C8E"/>
    <w:rsid w:val="00BC6755"/>
    <w:rsid w:val="00C25542"/>
    <w:rsid w:val="00CB2EA3"/>
    <w:rsid w:val="00CC4E50"/>
    <w:rsid w:val="00D11986"/>
    <w:rsid w:val="00D37A77"/>
    <w:rsid w:val="00D42F35"/>
    <w:rsid w:val="00D46BE9"/>
    <w:rsid w:val="00D64059"/>
    <w:rsid w:val="00DC2DAF"/>
    <w:rsid w:val="00DD5A1B"/>
    <w:rsid w:val="00E00674"/>
    <w:rsid w:val="00E0546D"/>
    <w:rsid w:val="00E32CEE"/>
    <w:rsid w:val="00E50672"/>
    <w:rsid w:val="00E70ECC"/>
    <w:rsid w:val="00E976F4"/>
    <w:rsid w:val="00EE224F"/>
    <w:rsid w:val="00FE4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8C6A3D"/>
  <w15:chartTrackingRefBased/>
  <w15:docId w15:val="{05F88FCD-B431-4B59-839B-F2800B5A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627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C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0546D"/>
    <w:pPr>
      <w:ind w:left="720"/>
      <w:contextualSpacing/>
    </w:pPr>
  </w:style>
  <w:style w:type="paragraph" w:styleId="Testonotaapidipagina">
    <w:name w:val="footnote text"/>
    <w:basedOn w:val="Normale"/>
    <w:link w:val="TestonotaapidipaginaCarattere"/>
    <w:semiHidden/>
    <w:rsid w:val="00B20D68"/>
  </w:style>
  <w:style w:type="character" w:customStyle="1" w:styleId="TestonotaapidipaginaCarattere">
    <w:name w:val="Testo nota a piè di pagina Carattere"/>
    <w:basedOn w:val="Carpredefinitoparagrafo"/>
    <w:link w:val="Testonotaapidipagina"/>
    <w:semiHidden/>
    <w:rsid w:val="00B20D68"/>
    <w:rPr>
      <w:rFonts w:ascii="Times New Roman" w:eastAsia="Times New Roman" w:hAnsi="Times New Roman" w:cs="Times New Roman"/>
      <w:sz w:val="20"/>
      <w:szCs w:val="20"/>
      <w:lang w:eastAsia="it-IT"/>
    </w:rPr>
  </w:style>
  <w:style w:type="character" w:styleId="Rimandonotaapidipagina">
    <w:name w:val="footnote reference"/>
    <w:semiHidden/>
    <w:rsid w:val="00B20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1925</Words>
  <Characters>10977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Zemignani</dc:creator>
  <cp:keywords/>
  <dc:description/>
  <cp:lastModifiedBy>Luca Grillo</cp:lastModifiedBy>
  <cp:revision>10</cp:revision>
  <dcterms:created xsi:type="dcterms:W3CDTF">2018-06-25T13:29:00Z</dcterms:created>
  <dcterms:modified xsi:type="dcterms:W3CDTF">2018-08-30T06:36:00Z</dcterms:modified>
</cp:coreProperties>
</file>