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F1" w:rsidRDefault="00CC50F1">
      <w:pPr>
        <w:pStyle w:val="BodyText"/>
        <w:jc w:val="left"/>
        <w:rPr>
          <w:rFonts w:ascii="Tahoma"/>
        </w:rPr>
      </w:pPr>
      <w:r>
        <w:rPr>
          <w:noProof/>
        </w:rPr>
        <w:pict>
          <v:rect id="_x0000_s1026" style="position:absolute;margin-left:160.5pt;margin-top:49.8pt;width:396pt;height:76.15pt;z-index:-251658240;mso-position-horizontal-relative:page;mso-position-vertical-relative:page;v-text-anchor:middle-center" filled="f" stroked="f" strokecolor="gray">
            <v:stroke color2="#7f7f7f" joinstyle="round"/>
            <v:textbox style="mso-next-textbox:#_x0000_s1026;mso-rotate-with-shape:t" inset="0,0,0,0">
              <w:txbxContent>
                <w:p w:rsidR="00CC50F1" w:rsidRPr="00717701" w:rsidRDefault="00CC50F1" w:rsidP="00717701">
                  <w:pPr>
                    <w:jc w:val="center"/>
                    <w:rPr>
                      <w:sz w:val="56"/>
                      <w:szCs w:val="56"/>
                    </w:rPr>
                  </w:pPr>
                  <w:r w:rsidRPr="00717701">
                    <w:rPr>
                      <w:sz w:val="56"/>
                      <w:szCs w:val="56"/>
                    </w:rPr>
                    <w:t>Comune di Manciano</w:t>
                  </w:r>
                </w:p>
                <w:p w:rsidR="00CC50F1" w:rsidRDefault="00CC50F1" w:rsidP="00717701">
                  <w:pPr>
                    <w:spacing w:before="120" w:line="158" w:lineRule="exact"/>
                    <w:jc w:val="center"/>
                  </w:pPr>
                  <w:r w:rsidRPr="00990AF1">
                    <w:t>Provincia di Grosseto</w:t>
                  </w:r>
                </w:p>
                <w:p w:rsidR="00CC50F1" w:rsidRPr="00FF12FD" w:rsidRDefault="00CC50F1" w:rsidP="00717701">
                  <w:pPr>
                    <w:jc w:val="center"/>
                    <w:rPr>
                      <w:sz w:val="28"/>
                      <w:szCs w:val="28"/>
                    </w:rPr>
                  </w:pPr>
                  <w:r w:rsidRPr="00FF12FD">
                    <w:rPr>
                      <w:sz w:val="28"/>
                      <w:szCs w:val="28"/>
                    </w:rPr>
                    <w:t>Area Urbanistica – Territorio – Ambiente – Lavori Pubblici</w:t>
                  </w:r>
                </w:p>
                <w:p w:rsidR="00CC50F1" w:rsidRPr="00467B61" w:rsidRDefault="00CC50F1" w:rsidP="00717701">
                  <w:pPr>
                    <w:jc w:val="center"/>
                    <w:rPr>
                      <w:sz w:val="24"/>
                      <w:szCs w:val="24"/>
                    </w:rPr>
                  </w:pPr>
                  <w:r w:rsidRPr="00467B61">
                    <w:rPr>
                      <w:sz w:val="24"/>
                      <w:szCs w:val="24"/>
                    </w:rPr>
                    <w:t>Servizio Lavori Pubblici – Servizio Manutenzioni</w:t>
                  </w:r>
                </w:p>
              </w:txbxContent>
            </v:textbox>
            <w10:wrap anchorx="page" anchory="page"/>
          </v:rect>
        </w:pict>
      </w:r>
      <w:r w:rsidRPr="00EC663A">
        <w:rPr>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99.75pt" filled="t">
            <v:fill color2="black"/>
            <v:imagedata r:id="rId7" o:title=""/>
          </v:shape>
        </w:pict>
      </w:r>
    </w:p>
    <w:p w:rsidR="00CC50F1" w:rsidRPr="00FF12FD" w:rsidRDefault="00CC50F1" w:rsidP="00E56CE0">
      <w:pPr>
        <w:pStyle w:val="BodyText2"/>
        <w:autoSpaceDE w:val="0"/>
        <w:spacing w:after="0" w:line="278" w:lineRule="exact"/>
        <w:jc w:val="center"/>
        <w:rPr>
          <w:b/>
          <w:bCs/>
          <w:sz w:val="24"/>
          <w:szCs w:val="24"/>
        </w:rPr>
      </w:pPr>
      <w:r w:rsidRPr="00FF12FD">
        <w:rPr>
          <w:b/>
          <w:bCs/>
          <w:sz w:val="24"/>
          <w:szCs w:val="24"/>
        </w:rPr>
        <w:t>FORNITURA DI N. 2 AUTOCARRI CON PIANALE RIBALTABILE</w:t>
      </w:r>
    </w:p>
    <w:p w:rsidR="00CC50F1" w:rsidRPr="00FF12FD" w:rsidRDefault="00CC50F1" w:rsidP="00E56CE0">
      <w:pPr>
        <w:pStyle w:val="BodyText2"/>
        <w:autoSpaceDE w:val="0"/>
        <w:spacing w:after="0" w:line="278" w:lineRule="exact"/>
        <w:jc w:val="center"/>
        <w:rPr>
          <w:b/>
          <w:bCs/>
          <w:sz w:val="24"/>
          <w:szCs w:val="24"/>
        </w:rPr>
      </w:pPr>
      <w:r w:rsidRPr="00FF12FD">
        <w:rPr>
          <w:b/>
          <w:bCs/>
          <w:sz w:val="24"/>
          <w:szCs w:val="24"/>
        </w:rPr>
        <w:t xml:space="preserve"> CAPITOLATO  TECNICO</w:t>
      </w:r>
    </w:p>
    <w:p w:rsidR="00CC50F1" w:rsidRPr="006061C1" w:rsidRDefault="00CC50F1" w:rsidP="00E56CE0">
      <w:pPr>
        <w:pStyle w:val="BodyText2"/>
        <w:autoSpaceDE w:val="0"/>
        <w:spacing w:after="0" w:line="278" w:lineRule="exact"/>
        <w:jc w:val="center"/>
        <w:rPr>
          <w:b/>
          <w:bCs/>
          <w:sz w:val="22"/>
          <w:szCs w:val="22"/>
        </w:rPr>
      </w:pPr>
    </w:p>
    <w:p w:rsidR="00CC50F1" w:rsidRDefault="00CC50F1" w:rsidP="0061408D">
      <w:pPr>
        <w:pStyle w:val="Heading1"/>
        <w:keepNext w:val="0"/>
        <w:numPr>
          <w:ilvl w:val="0"/>
          <w:numId w:val="0"/>
        </w:numPr>
        <w:suppressAutoHyphens w:val="0"/>
        <w:autoSpaceDN w:val="0"/>
        <w:spacing w:line="240" w:lineRule="auto"/>
        <w:ind w:left="2856"/>
        <w:rPr>
          <w:rFonts w:ascii="Times New Roman" w:hAnsi="Times New Roman" w:cs="Times New Roman"/>
          <w:i w:val="0"/>
          <w:iCs w:val="0"/>
          <w:sz w:val="22"/>
          <w:szCs w:val="22"/>
          <w:u w:val="none"/>
          <w:lang w:eastAsia="it-IT"/>
        </w:rPr>
      </w:pPr>
      <w:r w:rsidRPr="0076288C">
        <w:rPr>
          <w:rFonts w:ascii="Times New Roman" w:hAnsi="Times New Roman" w:cs="Times New Roman"/>
          <w:i w:val="0"/>
          <w:iCs w:val="0"/>
          <w:sz w:val="22"/>
          <w:szCs w:val="22"/>
          <w:u w:val="none"/>
          <w:lang w:eastAsia="it-IT"/>
        </w:rPr>
        <w:t>Art. 1 - OGGETTO DELL’APPALTO</w:t>
      </w:r>
    </w:p>
    <w:p w:rsidR="00CC50F1" w:rsidRDefault="00CC50F1" w:rsidP="0061408D">
      <w:pPr>
        <w:pStyle w:val="Heading1"/>
        <w:keepNext w:val="0"/>
        <w:numPr>
          <w:ilvl w:val="0"/>
          <w:numId w:val="0"/>
        </w:numPr>
        <w:suppressAutoHyphens w:val="0"/>
        <w:autoSpaceDN w:val="0"/>
        <w:spacing w:line="240" w:lineRule="auto"/>
        <w:ind w:left="2856"/>
        <w:rPr>
          <w:rFonts w:ascii="Times New Roman" w:hAnsi="Times New Roman" w:cs="Times New Roman"/>
          <w:i w:val="0"/>
          <w:iCs w:val="0"/>
          <w:sz w:val="22"/>
          <w:szCs w:val="22"/>
          <w:u w:val="none"/>
          <w:lang w:eastAsia="it-IT"/>
        </w:rPr>
      </w:pPr>
    </w:p>
    <w:p w:rsidR="00CC50F1" w:rsidRDefault="00CC50F1" w:rsidP="0061408D">
      <w:pPr>
        <w:pStyle w:val="BodyText"/>
        <w:spacing w:line="276" w:lineRule="auto"/>
        <w:ind w:left="232" w:right="219"/>
        <w:rPr>
          <w:sz w:val="22"/>
          <w:szCs w:val="22"/>
        </w:rPr>
      </w:pPr>
      <w:r w:rsidRPr="0076288C">
        <w:rPr>
          <w:sz w:val="22"/>
          <w:szCs w:val="22"/>
        </w:rPr>
        <w:t xml:space="preserve">Il presente appalto ha per oggetto la fornitura di n. 2 autocarri attrezzati con cassone  ribaltabile con le caratteristiche e gli accessori così come riportato nel successivo art. </w:t>
      </w:r>
      <w:r>
        <w:rPr>
          <w:sz w:val="22"/>
          <w:szCs w:val="22"/>
        </w:rPr>
        <w:t>3</w:t>
      </w:r>
      <w:r w:rsidRPr="0076288C">
        <w:rPr>
          <w:sz w:val="22"/>
          <w:szCs w:val="22"/>
        </w:rPr>
        <w:t>;-</w:t>
      </w:r>
    </w:p>
    <w:p w:rsidR="00CC50F1" w:rsidRDefault="00CC50F1" w:rsidP="0061408D">
      <w:pPr>
        <w:pStyle w:val="BodyText"/>
        <w:spacing w:line="276" w:lineRule="auto"/>
        <w:ind w:left="232" w:right="219"/>
        <w:rPr>
          <w:sz w:val="22"/>
          <w:szCs w:val="22"/>
        </w:rPr>
      </w:pPr>
    </w:p>
    <w:p w:rsidR="00CC50F1" w:rsidRDefault="00CC50F1" w:rsidP="0061408D">
      <w:pPr>
        <w:pStyle w:val="Heading1"/>
        <w:keepNext w:val="0"/>
        <w:numPr>
          <w:ilvl w:val="0"/>
          <w:numId w:val="0"/>
        </w:numPr>
        <w:suppressAutoHyphens w:val="0"/>
        <w:autoSpaceDN w:val="0"/>
        <w:spacing w:line="240" w:lineRule="auto"/>
        <w:ind w:left="2861"/>
        <w:rPr>
          <w:rFonts w:ascii="Times New Roman" w:hAnsi="Times New Roman" w:cs="Times New Roman"/>
          <w:i w:val="0"/>
          <w:iCs w:val="0"/>
          <w:sz w:val="22"/>
          <w:szCs w:val="22"/>
          <w:u w:val="none"/>
          <w:lang w:eastAsia="it-IT"/>
        </w:rPr>
      </w:pPr>
      <w:r w:rsidRPr="0076288C">
        <w:rPr>
          <w:rFonts w:ascii="Times New Roman" w:hAnsi="Times New Roman" w:cs="Times New Roman"/>
          <w:i w:val="0"/>
          <w:iCs w:val="0"/>
          <w:sz w:val="22"/>
          <w:szCs w:val="22"/>
          <w:u w:val="none"/>
          <w:lang w:eastAsia="it-IT"/>
        </w:rPr>
        <w:t>Art. 2 – CORRISPETTIVO DELL’APPALTO</w:t>
      </w:r>
    </w:p>
    <w:p w:rsidR="00CC50F1" w:rsidRDefault="00CC50F1" w:rsidP="0061408D">
      <w:pPr>
        <w:pStyle w:val="Heading1"/>
        <w:keepNext w:val="0"/>
        <w:numPr>
          <w:ilvl w:val="0"/>
          <w:numId w:val="0"/>
        </w:numPr>
        <w:suppressAutoHyphens w:val="0"/>
        <w:autoSpaceDN w:val="0"/>
        <w:spacing w:line="240" w:lineRule="auto"/>
        <w:ind w:left="2861"/>
        <w:rPr>
          <w:rFonts w:ascii="Times New Roman" w:hAnsi="Times New Roman" w:cs="Times New Roman"/>
          <w:i w:val="0"/>
          <w:iCs w:val="0"/>
          <w:sz w:val="22"/>
          <w:szCs w:val="22"/>
          <w:u w:val="none"/>
          <w:lang w:eastAsia="it-IT"/>
        </w:rPr>
      </w:pPr>
    </w:p>
    <w:p w:rsidR="00CC50F1" w:rsidRPr="0076288C" w:rsidRDefault="00CC50F1" w:rsidP="0061408D">
      <w:pPr>
        <w:pStyle w:val="BodyText"/>
        <w:spacing w:line="276" w:lineRule="auto"/>
        <w:ind w:left="232" w:right="219"/>
        <w:rPr>
          <w:sz w:val="22"/>
          <w:szCs w:val="22"/>
        </w:rPr>
      </w:pPr>
      <w:r w:rsidRPr="0076288C">
        <w:rPr>
          <w:sz w:val="22"/>
          <w:szCs w:val="22"/>
        </w:rPr>
        <w:t>L’importo a base di gara per n. 2 Porter è di €. 31.200,00 (Trentunomiladuecento/00) oltre iva. L’offerta formulata sarà vincolante per la ditta aggiudicataria per un periodo di 180 (centoottanta) giorni decorrenti dalla data di apertura delle offerte. Il prezzo offerto dovrà essere comprensivo di tutte le spese comprese quelle relative al trasporto, al collaudo, nonché le imposte relative ed ogni altro onere per la fornitura chiavi in mano, ad esclusione della sola I.V.A.. Nel prezzo è anche compresa la pratica amministrativa concernente la successiva immatricolazione del mezzo secondo le vigenti disposizioni e qualsiasi altro onere relativo</w:t>
      </w:r>
      <w:r w:rsidRPr="0076288C">
        <w:rPr>
          <w:spacing w:val="-1"/>
          <w:sz w:val="22"/>
          <w:szCs w:val="22"/>
        </w:rPr>
        <w:t xml:space="preserve"> </w:t>
      </w:r>
      <w:r w:rsidRPr="0076288C">
        <w:rPr>
          <w:sz w:val="22"/>
          <w:szCs w:val="22"/>
        </w:rPr>
        <w:t>all’autocarro.</w:t>
      </w:r>
    </w:p>
    <w:p w:rsidR="00CC50F1" w:rsidRPr="0076288C" w:rsidRDefault="00CC50F1">
      <w:pPr>
        <w:pStyle w:val="BodyText"/>
        <w:ind w:left="232" w:right="214"/>
        <w:rPr>
          <w:sz w:val="22"/>
          <w:szCs w:val="22"/>
        </w:rPr>
      </w:pPr>
      <w:r w:rsidRPr="0076288C">
        <w:rPr>
          <w:sz w:val="22"/>
          <w:szCs w:val="22"/>
        </w:rPr>
        <w:t>Trattandosi di mera fornitura senza installazione, non è stato predisposto il Documento Unico di Valutazione dei Rischi da Interferenze (DUVRI) e l'importo degli oneri di sicurezza da interferenze è pari a zero.</w:t>
      </w:r>
    </w:p>
    <w:p w:rsidR="00CC50F1" w:rsidRDefault="00CC50F1">
      <w:pPr>
        <w:pStyle w:val="Heading1"/>
        <w:keepNext w:val="0"/>
        <w:numPr>
          <w:ilvl w:val="0"/>
          <w:numId w:val="0"/>
        </w:numPr>
        <w:suppressAutoHyphens w:val="0"/>
        <w:autoSpaceDN w:val="0"/>
        <w:spacing w:before="90" w:line="240" w:lineRule="auto"/>
        <w:ind w:left="1697"/>
        <w:rPr>
          <w:rFonts w:ascii="Times New Roman" w:hAnsi="Times New Roman" w:cs="Times New Roman"/>
          <w:i w:val="0"/>
          <w:iCs w:val="0"/>
          <w:sz w:val="22"/>
          <w:szCs w:val="22"/>
          <w:u w:val="none"/>
          <w:lang w:eastAsia="it-IT"/>
        </w:rPr>
      </w:pPr>
      <w:r w:rsidRPr="0076288C">
        <w:rPr>
          <w:rFonts w:ascii="Times New Roman" w:hAnsi="Times New Roman" w:cs="Times New Roman"/>
          <w:i w:val="0"/>
          <w:iCs w:val="0"/>
          <w:sz w:val="22"/>
          <w:szCs w:val="22"/>
          <w:u w:val="none"/>
          <w:lang w:eastAsia="it-IT"/>
        </w:rPr>
        <w:t xml:space="preserve">Art.3 </w:t>
      </w:r>
      <w:r w:rsidRPr="0076288C">
        <w:rPr>
          <w:rFonts w:ascii="Times New Roman" w:hAnsi="Times New Roman" w:cs="Times New Roman"/>
          <w:b w:val="0"/>
          <w:i w:val="0"/>
          <w:iCs w:val="0"/>
          <w:sz w:val="22"/>
          <w:szCs w:val="22"/>
          <w:u w:val="none"/>
          <w:lang w:eastAsia="it-IT"/>
        </w:rPr>
        <w:t xml:space="preserve">– </w:t>
      </w:r>
      <w:r w:rsidRPr="0076288C">
        <w:rPr>
          <w:rFonts w:ascii="Times New Roman" w:hAnsi="Times New Roman" w:cs="Times New Roman"/>
          <w:i w:val="0"/>
          <w:iCs w:val="0"/>
          <w:sz w:val="22"/>
          <w:szCs w:val="22"/>
          <w:u w:val="none"/>
          <w:lang w:eastAsia="it-IT"/>
        </w:rPr>
        <w:t>PRESCRIZIONI TECNICHE DELLA FORNITURA</w:t>
      </w:r>
    </w:p>
    <w:p w:rsidR="00CC50F1" w:rsidRDefault="00CC50F1">
      <w:pPr>
        <w:pStyle w:val="Heading1"/>
        <w:keepNext w:val="0"/>
        <w:numPr>
          <w:ilvl w:val="0"/>
          <w:numId w:val="0"/>
        </w:numPr>
        <w:suppressAutoHyphens w:val="0"/>
        <w:autoSpaceDN w:val="0"/>
        <w:spacing w:before="90" w:line="240" w:lineRule="auto"/>
        <w:ind w:left="1697"/>
        <w:rPr>
          <w:rFonts w:ascii="Times New Roman" w:hAnsi="Times New Roman" w:cs="Times New Roman"/>
          <w:i w:val="0"/>
          <w:iCs w:val="0"/>
          <w:sz w:val="22"/>
          <w:szCs w:val="22"/>
          <w:u w:val="none"/>
          <w:lang w:eastAsia="it-IT"/>
        </w:rPr>
      </w:pPr>
    </w:p>
    <w:p w:rsidR="00CC50F1" w:rsidRPr="0076288C" w:rsidRDefault="00CC50F1">
      <w:pPr>
        <w:pStyle w:val="BodyText"/>
        <w:spacing w:line="276" w:lineRule="auto"/>
        <w:ind w:left="232" w:right="220"/>
        <w:rPr>
          <w:sz w:val="22"/>
          <w:szCs w:val="22"/>
        </w:rPr>
      </w:pPr>
      <w:r w:rsidRPr="0076288C">
        <w:rPr>
          <w:sz w:val="22"/>
          <w:szCs w:val="22"/>
        </w:rPr>
        <w:t>I veicoli di cui si chiede la fornitura dovranno risultare nuovi di fabbrica, pienamente rispondenti alle caratteristiche tecniche sotto riportate e dovranno essere forniti completi di tutti gli accessori indicati,opportunamente installati e, ove sia previsto, debitamente omologati:</w:t>
      </w:r>
    </w:p>
    <w:p w:rsidR="00CC50F1" w:rsidRPr="0076288C" w:rsidRDefault="00CC50F1">
      <w:pPr>
        <w:pStyle w:val="BodyText"/>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40"/>
        <w:gridCol w:w="4771"/>
      </w:tblGrid>
      <w:tr w:rsidR="00CC50F1" w:rsidRPr="0076288C" w:rsidTr="00FA5BE4">
        <w:trPr>
          <w:jc w:val="center"/>
        </w:trPr>
        <w:tc>
          <w:tcPr>
            <w:tcW w:w="9211" w:type="dxa"/>
            <w:gridSpan w:val="2"/>
          </w:tcPr>
          <w:p w:rsidR="00CC50F1" w:rsidRPr="0076288C" w:rsidRDefault="00CC50F1" w:rsidP="00193CA9">
            <w:pPr>
              <w:jc w:val="center"/>
            </w:pPr>
            <w:r w:rsidRPr="0076288C">
              <w:rPr>
                <w:b/>
                <w:bCs/>
              </w:rPr>
              <w:t>SCHEDA TECNICA</w:t>
            </w:r>
          </w:p>
        </w:tc>
      </w:tr>
      <w:tr w:rsidR="00CC50F1" w:rsidRPr="0076288C" w:rsidTr="00FA5BE4">
        <w:trPr>
          <w:cantSplit/>
          <w:jc w:val="center"/>
        </w:trPr>
        <w:tc>
          <w:tcPr>
            <w:tcW w:w="9211" w:type="dxa"/>
            <w:gridSpan w:val="2"/>
          </w:tcPr>
          <w:p w:rsidR="00CC50F1" w:rsidRPr="0076288C" w:rsidRDefault="00CC50F1" w:rsidP="00193CA9">
            <w:pPr>
              <w:jc w:val="center"/>
            </w:pPr>
            <w:r w:rsidRPr="0076288C">
              <w:t>CARATTERISTICHE MINIME</w:t>
            </w:r>
          </w:p>
        </w:tc>
      </w:tr>
      <w:tr w:rsidR="00CC50F1" w:rsidRPr="0076288C" w:rsidTr="00FA5BE4">
        <w:trPr>
          <w:cantSplit/>
          <w:jc w:val="center"/>
        </w:trPr>
        <w:tc>
          <w:tcPr>
            <w:tcW w:w="4440" w:type="dxa"/>
          </w:tcPr>
          <w:p w:rsidR="00CC50F1" w:rsidRPr="0076288C" w:rsidRDefault="00CC50F1" w:rsidP="00193CA9">
            <w:r w:rsidRPr="0076288C">
              <w:t>MOTORE</w:t>
            </w:r>
          </w:p>
        </w:tc>
        <w:tc>
          <w:tcPr>
            <w:tcW w:w="4771" w:type="dxa"/>
          </w:tcPr>
          <w:p w:rsidR="00CC50F1" w:rsidRPr="0076288C" w:rsidRDefault="00CC50F1" w:rsidP="00193CA9">
            <w:r w:rsidRPr="0076288C">
              <w:t>Benzina E6</w:t>
            </w:r>
          </w:p>
        </w:tc>
      </w:tr>
      <w:tr w:rsidR="00CC50F1" w:rsidRPr="0076288C" w:rsidTr="00FA5BE4">
        <w:trPr>
          <w:cantSplit/>
          <w:jc w:val="center"/>
        </w:trPr>
        <w:tc>
          <w:tcPr>
            <w:tcW w:w="4440" w:type="dxa"/>
          </w:tcPr>
          <w:p w:rsidR="00CC50F1" w:rsidRPr="0076288C" w:rsidRDefault="00CC50F1" w:rsidP="00193CA9">
            <w:r w:rsidRPr="0076288C">
              <w:t xml:space="preserve">CILINDRATA </w:t>
            </w:r>
          </w:p>
        </w:tc>
        <w:tc>
          <w:tcPr>
            <w:tcW w:w="4771" w:type="dxa"/>
          </w:tcPr>
          <w:p w:rsidR="00CC50F1" w:rsidRPr="0076288C" w:rsidRDefault="00CC50F1" w:rsidP="00193CA9">
            <w:r w:rsidRPr="0076288C">
              <w:t>1.299 CC a 4 Cilindri</w:t>
            </w:r>
          </w:p>
        </w:tc>
      </w:tr>
      <w:tr w:rsidR="00CC50F1" w:rsidRPr="0076288C" w:rsidTr="00FA5BE4">
        <w:trPr>
          <w:cantSplit/>
          <w:jc w:val="center"/>
        </w:trPr>
        <w:tc>
          <w:tcPr>
            <w:tcW w:w="4440" w:type="dxa"/>
          </w:tcPr>
          <w:p w:rsidR="00CC50F1" w:rsidRPr="0076288C" w:rsidRDefault="00CC50F1" w:rsidP="00193CA9">
            <w:r w:rsidRPr="0076288C">
              <w:t>ALIMENTAZIONE</w:t>
            </w:r>
          </w:p>
        </w:tc>
        <w:tc>
          <w:tcPr>
            <w:tcW w:w="4771" w:type="dxa"/>
          </w:tcPr>
          <w:p w:rsidR="00CC50F1" w:rsidRPr="0076288C" w:rsidRDefault="00CC50F1" w:rsidP="00193CA9">
            <w:r w:rsidRPr="0076288C">
              <w:t>Iniezione diretta</w:t>
            </w:r>
          </w:p>
        </w:tc>
      </w:tr>
      <w:tr w:rsidR="00CC50F1" w:rsidRPr="0076288C" w:rsidTr="00FA5BE4">
        <w:trPr>
          <w:cantSplit/>
          <w:jc w:val="center"/>
        </w:trPr>
        <w:tc>
          <w:tcPr>
            <w:tcW w:w="4440" w:type="dxa"/>
          </w:tcPr>
          <w:p w:rsidR="00CC50F1" w:rsidRPr="0076288C" w:rsidRDefault="00CC50F1" w:rsidP="00193CA9">
            <w:r w:rsidRPr="0076288C">
              <w:t>RAFFREDDAMENTO</w:t>
            </w:r>
          </w:p>
        </w:tc>
        <w:tc>
          <w:tcPr>
            <w:tcW w:w="4771" w:type="dxa"/>
          </w:tcPr>
          <w:p w:rsidR="00CC50F1" w:rsidRPr="0076288C" w:rsidRDefault="00CC50F1" w:rsidP="00193CA9">
            <w:r w:rsidRPr="0076288C">
              <w:t>Liquido</w:t>
            </w:r>
          </w:p>
        </w:tc>
      </w:tr>
      <w:tr w:rsidR="00CC50F1" w:rsidRPr="0076288C" w:rsidTr="00FA5BE4">
        <w:trPr>
          <w:cantSplit/>
          <w:jc w:val="center"/>
        </w:trPr>
        <w:tc>
          <w:tcPr>
            <w:tcW w:w="4440" w:type="dxa"/>
          </w:tcPr>
          <w:p w:rsidR="00CC50F1" w:rsidRPr="0076288C" w:rsidRDefault="00CC50F1" w:rsidP="00193CA9">
            <w:r w:rsidRPr="0076288C">
              <w:t>TRAZIONE</w:t>
            </w:r>
          </w:p>
        </w:tc>
        <w:tc>
          <w:tcPr>
            <w:tcW w:w="4771" w:type="dxa"/>
          </w:tcPr>
          <w:p w:rsidR="00CC50F1" w:rsidRPr="0076288C" w:rsidRDefault="00CC50F1" w:rsidP="00193CA9">
            <w:r w:rsidRPr="0076288C">
              <w:t>Posteriore</w:t>
            </w:r>
          </w:p>
        </w:tc>
      </w:tr>
      <w:tr w:rsidR="00CC50F1" w:rsidRPr="0076288C" w:rsidTr="00FA5BE4">
        <w:trPr>
          <w:cantSplit/>
          <w:jc w:val="center"/>
        </w:trPr>
        <w:tc>
          <w:tcPr>
            <w:tcW w:w="4440" w:type="dxa"/>
          </w:tcPr>
          <w:p w:rsidR="00CC50F1" w:rsidRPr="0076288C" w:rsidRDefault="00CC50F1" w:rsidP="00193CA9">
            <w:r w:rsidRPr="0076288C">
              <w:t>PNEUMATICI</w:t>
            </w:r>
          </w:p>
        </w:tc>
        <w:tc>
          <w:tcPr>
            <w:tcW w:w="4771" w:type="dxa"/>
          </w:tcPr>
          <w:p w:rsidR="00CC50F1" w:rsidRPr="0076288C" w:rsidRDefault="00CC50F1" w:rsidP="00193CA9">
            <w:r w:rsidRPr="0076288C">
              <w:t>155/80/R13</w:t>
            </w:r>
          </w:p>
        </w:tc>
      </w:tr>
      <w:tr w:rsidR="00CC50F1" w:rsidRPr="0076288C" w:rsidTr="00FA5BE4">
        <w:trPr>
          <w:cantSplit/>
          <w:jc w:val="center"/>
        </w:trPr>
        <w:tc>
          <w:tcPr>
            <w:tcW w:w="4440" w:type="dxa"/>
          </w:tcPr>
          <w:p w:rsidR="00CC50F1" w:rsidRPr="0076288C" w:rsidRDefault="00CC50F1" w:rsidP="00193CA9">
            <w:r w:rsidRPr="0076288C">
              <w:t>PESO TOTALE A TERRA</w:t>
            </w:r>
          </w:p>
        </w:tc>
        <w:tc>
          <w:tcPr>
            <w:tcW w:w="4771" w:type="dxa"/>
          </w:tcPr>
          <w:p w:rsidR="00CC50F1" w:rsidRPr="0076288C" w:rsidRDefault="00CC50F1" w:rsidP="00193CA9">
            <w:smartTag w:uri="urn:schemas-microsoft-com:office:smarttags" w:element="metricconverter">
              <w:smartTagPr>
                <w:attr w:name="ProductID" w:val="1.700 kG"/>
              </w:smartTagPr>
              <w:r w:rsidRPr="0076288C">
                <w:t>1.700 kG</w:t>
              </w:r>
            </w:smartTag>
          </w:p>
        </w:tc>
      </w:tr>
      <w:tr w:rsidR="00CC50F1" w:rsidRPr="0076288C" w:rsidTr="00FA5BE4">
        <w:trPr>
          <w:cantSplit/>
          <w:jc w:val="center"/>
        </w:trPr>
        <w:tc>
          <w:tcPr>
            <w:tcW w:w="4440" w:type="dxa"/>
          </w:tcPr>
          <w:p w:rsidR="00CC50F1" w:rsidRPr="0076288C" w:rsidRDefault="00CC50F1" w:rsidP="00193CA9">
            <w:r w:rsidRPr="0076288C">
              <w:t>PORTATA</w:t>
            </w:r>
          </w:p>
        </w:tc>
        <w:tc>
          <w:tcPr>
            <w:tcW w:w="4771" w:type="dxa"/>
          </w:tcPr>
          <w:p w:rsidR="00CC50F1" w:rsidRPr="0076288C" w:rsidRDefault="00CC50F1" w:rsidP="00193CA9">
            <w:smartTag w:uri="urn:schemas-microsoft-com:office:smarttags" w:element="metricconverter">
              <w:smartTagPr>
                <w:attr w:name="ProductID" w:val="790 KG"/>
              </w:smartTagPr>
              <w:r w:rsidRPr="0076288C">
                <w:t>790 KG</w:t>
              </w:r>
            </w:smartTag>
          </w:p>
        </w:tc>
      </w:tr>
      <w:tr w:rsidR="00CC50F1" w:rsidRPr="0076288C" w:rsidTr="00FA5BE4">
        <w:trPr>
          <w:cantSplit/>
          <w:jc w:val="center"/>
        </w:trPr>
        <w:tc>
          <w:tcPr>
            <w:tcW w:w="9211" w:type="dxa"/>
            <w:gridSpan w:val="2"/>
          </w:tcPr>
          <w:p w:rsidR="00CC50F1" w:rsidRPr="0076288C" w:rsidRDefault="00CC50F1" w:rsidP="00193CA9">
            <w:pPr>
              <w:pStyle w:val="Footer"/>
              <w:tabs>
                <w:tab w:val="clear" w:pos="4819"/>
                <w:tab w:val="clear" w:pos="9638"/>
              </w:tabs>
              <w:rPr>
                <w:highlight w:val="lightGray"/>
              </w:rPr>
            </w:pPr>
            <w:r w:rsidRPr="0076288C">
              <w:t>PIANALE RIBALTABILE CON SPONDE IN LEGA DA CM 40 APRIBILI SU TRE LATI</w:t>
            </w:r>
          </w:p>
        </w:tc>
      </w:tr>
      <w:tr w:rsidR="00CC50F1" w:rsidRPr="0076288C" w:rsidTr="00FA5BE4">
        <w:trPr>
          <w:cantSplit/>
          <w:jc w:val="center"/>
        </w:trPr>
        <w:tc>
          <w:tcPr>
            <w:tcW w:w="9211" w:type="dxa"/>
            <w:gridSpan w:val="2"/>
          </w:tcPr>
          <w:p w:rsidR="00CC50F1" w:rsidRPr="0076288C" w:rsidRDefault="00CC50F1" w:rsidP="00193CA9">
            <w:pPr>
              <w:pStyle w:val="Footer"/>
              <w:tabs>
                <w:tab w:val="clear" w:pos="4819"/>
                <w:tab w:val="clear" w:pos="9638"/>
              </w:tabs>
            </w:pPr>
            <w:r w:rsidRPr="0076288C">
              <w:t>ATTREZZATURA PER ORDINARIA MANUTENZIONE</w:t>
            </w:r>
          </w:p>
        </w:tc>
      </w:tr>
      <w:tr w:rsidR="00CC50F1" w:rsidRPr="0076288C" w:rsidTr="00FA5BE4">
        <w:trPr>
          <w:cantSplit/>
          <w:jc w:val="center"/>
        </w:trPr>
        <w:tc>
          <w:tcPr>
            <w:tcW w:w="9211" w:type="dxa"/>
            <w:gridSpan w:val="2"/>
          </w:tcPr>
          <w:p w:rsidR="00CC50F1" w:rsidRPr="0076288C" w:rsidRDefault="00CC50F1" w:rsidP="00193CA9">
            <w:pPr>
              <w:pStyle w:val="Footer"/>
              <w:tabs>
                <w:tab w:val="clear" w:pos="4819"/>
                <w:tab w:val="clear" w:pos="9638"/>
              </w:tabs>
            </w:pPr>
            <w:r w:rsidRPr="0076288C">
              <w:t>SPECCHI RETROVISORI ESTERNI SINISTRO E DESTRO</w:t>
            </w:r>
          </w:p>
        </w:tc>
      </w:tr>
      <w:tr w:rsidR="00CC50F1" w:rsidRPr="0076288C" w:rsidTr="00FA5BE4">
        <w:trPr>
          <w:cantSplit/>
          <w:jc w:val="center"/>
        </w:trPr>
        <w:tc>
          <w:tcPr>
            <w:tcW w:w="9211" w:type="dxa"/>
            <w:gridSpan w:val="2"/>
          </w:tcPr>
          <w:p w:rsidR="00CC50F1" w:rsidRPr="0076288C" w:rsidRDefault="00CC50F1" w:rsidP="00193CA9">
            <w:pPr>
              <w:pStyle w:val="Footer"/>
              <w:tabs>
                <w:tab w:val="clear" w:pos="4819"/>
                <w:tab w:val="clear" w:pos="9638"/>
              </w:tabs>
            </w:pPr>
            <w:r w:rsidRPr="0076288C">
              <w:t>LAMPEGGIANTE A CALAMITA</w:t>
            </w:r>
          </w:p>
        </w:tc>
      </w:tr>
      <w:tr w:rsidR="00CC50F1" w:rsidRPr="0076288C" w:rsidTr="00FA5BE4">
        <w:trPr>
          <w:cantSplit/>
          <w:jc w:val="center"/>
        </w:trPr>
        <w:tc>
          <w:tcPr>
            <w:tcW w:w="9211" w:type="dxa"/>
            <w:gridSpan w:val="2"/>
          </w:tcPr>
          <w:p w:rsidR="00CC50F1" w:rsidRPr="0076288C" w:rsidRDefault="00CC50F1" w:rsidP="00193CA9">
            <w:pPr>
              <w:pStyle w:val="Footer"/>
              <w:tabs>
                <w:tab w:val="clear" w:pos="4819"/>
                <w:tab w:val="clear" w:pos="9638"/>
              </w:tabs>
              <w:rPr>
                <w:highlight w:val="lightGray"/>
              </w:rPr>
            </w:pPr>
            <w:r w:rsidRPr="0076288C">
              <w:t>TELAIO PARACABINA</w:t>
            </w:r>
          </w:p>
        </w:tc>
      </w:tr>
      <w:tr w:rsidR="00CC50F1" w:rsidRPr="0076288C" w:rsidTr="00FA5BE4">
        <w:trPr>
          <w:cantSplit/>
          <w:jc w:val="center"/>
        </w:trPr>
        <w:tc>
          <w:tcPr>
            <w:tcW w:w="9211" w:type="dxa"/>
            <w:gridSpan w:val="2"/>
          </w:tcPr>
          <w:p w:rsidR="00CC50F1" w:rsidRPr="0076288C" w:rsidRDefault="00CC50F1" w:rsidP="00193CA9">
            <w:pPr>
              <w:pStyle w:val="Footer"/>
              <w:tabs>
                <w:tab w:val="clear" w:pos="4819"/>
                <w:tab w:val="clear" w:pos="9638"/>
              </w:tabs>
              <w:rPr>
                <w:highlight w:val="lightGray"/>
              </w:rPr>
            </w:pPr>
            <w:r w:rsidRPr="0076288C">
              <w:t>COLORE BIANCO</w:t>
            </w:r>
          </w:p>
        </w:tc>
      </w:tr>
      <w:tr w:rsidR="00CC50F1" w:rsidRPr="0076288C" w:rsidTr="00FA5BE4">
        <w:trPr>
          <w:cantSplit/>
          <w:jc w:val="center"/>
        </w:trPr>
        <w:tc>
          <w:tcPr>
            <w:tcW w:w="9211" w:type="dxa"/>
            <w:gridSpan w:val="2"/>
          </w:tcPr>
          <w:p w:rsidR="00CC50F1" w:rsidRPr="0076288C" w:rsidRDefault="00CC50F1" w:rsidP="00193CA9">
            <w:pPr>
              <w:pStyle w:val="Footer"/>
              <w:tabs>
                <w:tab w:val="clear" w:pos="4819"/>
                <w:tab w:val="clear" w:pos="9638"/>
              </w:tabs>
            </w:pPr>
            <w:r w:rsidRPr="0076288C">
              <w:t>MANUALE DI USO E MANUTENZIONE</w:t>
            </w:r>
          </w:p>
        </w:tc>
      </w:tr>
      <w:tr w:rsidR="00CC50F1" w:rsidRPr="0076288C" w:rsidTr="00FA5BE4">
        <w:trPr>
          <w:cantSplit/>
          <w:jc w:val="center"/>
        </w:trPr>
        <w:tc>
          <w:tcPr>
            <w:tcW w:w="9211" w:type="dxa"/>
            <w:gridSpan w:val="2"/>
          </w:tcPr>
          <w:p w:rsidR="00CC50F1" w:rsidRPr="0076288C" w:rsidRDefault="00CC50F1" w:rsidP="00193CA9">
            <w:pPr>
              <w:pStyle w:val="Footer"/>
              <w:tabs>
                <w:tab w:val="clear" w:pos="4819"/>
                <w:tab w:val="clear" w:pos="9638"/>
              </w:tabs>
            </w:pPr>
            <w:r w:rsidRPr="0076288C">
              <w:t>LOGO E DESCRIZIONE DI APPARTENENZA</w:t>
            </w:r>
          </w:p>
        </w:tc>
      </w:tr>
    </w:tbl>
    <w:p w:rsidR="00CC50F1" w:rsidRPr="0076288C" w:rsidRDefault="00CC50F1">
      <w:pPr>
        <w:pStyle w:val="BodyText"/>
        <w:spacing w:before="1"/>
        <w:jc w:val="left"/>
        <w:rPr>
          <w:sz w:val="22"/>
          <w:szCs w:val="22"/>
        </w:rPr>
      </w:pPr>
    </w:p>
    <w:p w:rsidR="00CC50F1" w:rsidRPr="0076288C" w:rsidRDefault="00CC50F1">
      <w:pPr>
        <w:pStyle w:val="BodyText"/>
        <w:spacing w:before="1"/>
        <w:jc w:val="left"/>
        <w:rPr>
          <w:sz w:val="22"/>
          <w:szCs w:val="22"/>
        </w:rPr>
      </w:pPr>
    </w:p>
    <w:p w:rsidR="00CC50F1" w:rsidRDefault="00CC50F1" w:rsidP="00E15164">
      <w:pPr>
        <w:pStyle w:val="Heading1"/>
        <w:numPr>
          <w:ilvl w:val="0"/>
          <w:numId w:val="0"/>
        </w:numPr>
        <w:jc w:val="center"/>
        <w:rPr>
          <w:rFonts w:ascii="Times New Roman" w:hAnsi="Times New Roman" w:cs="Times New Roman"/>
          <w:bCs w:val="0"/>
          <w:i w:val="0"/>
          <w:iCs w:val="0"/>
          <w:sz w:val="22"/>
          <w:szCs w:val="22"/>
        </w:rPr>
      </w:pPr>
      <w:r w:rsidRPr="0076288C">
        <w:rPr>
          <w:rFonts w:ascii="Times New Roman" w:hAnsi="Times New Roman" w:cs="Times New Roman"/>
          <w:bCs w:val="0"/>
          <w:i w:val="0"/>
          <w:iCs w:val="0"/>
          <w:sz w:val="22"/>
          <w:szCs w:val="22"/>
        </w:rPr>
        <w:t>ART. 4 - CRITERI DI AGGIUDICAZIONE</w:t>
      </w:r>
    </w:p>
    <w:p w:rsidR="00CC50F1" w:rsidRPr="0076288C" w:rsidRDefault="00CC50F1" w:rsidP="00E15164">
      <w:pPr>
        <w:pStyle w:val="Heading1"/>
        <w:numPr>
          <w:ilvl w:val="0"/>
          <w:numId w:val="0"/>
        </w:numPr>
        <w:jc w:val="center"/>
        <w:rPr>
          <w:rFonts w:ascii="Times New Roman" w:hAnsi="Times New Roman" w:cs="Times New Roman"/>
          <w:sz w:val="22"/>
          <w:szCs w:val="22"/>
        </w:rPr>
      </w:pPr>
    </w:p>
    <w:p w:rsidR="00CC50F1" w:rsidRPr="0076288C" w:rsidRDefault="00CC50F1" w:rsidP="00E15164">
      <w:pPr>
        <w:pStyle w:val="Heading5"/>
        <w:numPr>
          <w:ilvl w:val="0"/>
          <w:numId w:val="0"/>
        </w:numPr>
        <w:pBdr>
          <w:bottom w:val="single" w:sz="2" w:space="2" w:color="C0C0C0"/>
        </w:pBdr>
        <w:spacing w:after="50"/>
        <w:jc w:val="both"/>
        <w:rPr>
          <w:sz w:val="22"/>
          <w:szCs w:val="22"/>
        </w:rPr>
      </w:pPr>
      <w:r w:rsidRPr="0076288C">
        <w:rPr>
          <w:b w:val="0"/>
          <w:bCs w:val="0"/>
          <w:sz w:val="22"/>
          <w:szCs w:val="22"/>
        </w:rPr>
        <w:t>L’affidamento della fornitura avverrà ai sensi dell'Art. 95. (Criteri di aggiudicazione dell'appalto) comma 4, lett c), con il ricorso a procedura negoziata cui all'Art. 36 comma 2 lett. b) del Decreto legislativo 18 aprile 2016, n. 50 ed avente ad oggetto la fornitura di "N.2 autocarri con pianale  ribaltabile ";-</w:t>
      </w:r>
    </w:p>
    <w:p w:rsidR="00CC50F1" w:rsidRPr="0076288C" w:rsidRDefault="00CC50F1" w:rsidP="00E15164">
      <w:pPr>
        <w:pStyle w:val="NormalWeb"/>
        <w:numPr>
          <w:ilvl w:val="0"/>
          <w:numId w:val="10"/>
        </w:numPr>
        <w:tabs>
          <w:tab w:val="left" w:pos="2946"/>
        </w:tabs>
        <w:spacing w:before="0" w:after="0"/>
        <w:jc w:val="both"/>
        <w:rPr>
          <w:sz w:val="22"/>
          <w:szCs w:val="22"/>
        </w:rPr>
      </w:pPr>
      <w:r w:rsidRPr="0076288C">
        <w:rPr>
          <w:sz w:val="22"/>
          <w:szCs w:val="22"/>
        </w:rPr>
        <w:t>La scelta del contraente verrà effettuata assumendo quale criterio di selezione delle offerte quello del prezzo più basso, mediante ribasso percentuale da applicarsi sull'importo a base di gara, in relazione alle peculiari caratteristiche della prestazione oggetto dell’appalto e secondo quanto previsto dall'</w:t>
      </w:r>
      <w:bookmarkStart w:id="0" w:name="095"/>
      <w:bookmarkEnd w:id="0"/>
      <w:r w:rsidRPr="0076288C">
        <w:rPr>
          <w:bCs/>
          <w:sz w:val="22"/>
          <w:szCs w:val="22"/>
        </w:rPr>
        <w:t xml:space="preserve">Art. 95. (Criteri di aggiudicazione dell'appalto) </w:t>
      </w:r>
      <w:r w:rsidRPr="0076288C">
        <w:rPr>
          <w:sz w:val="22"/>
          <w:szCs w:val="22"/>
        </w:rPr>
        <w:t>del D.lgs 50/2016</w:t>
      </w:r>
      <w:r w:rsidRPr="0076288C">
        <w:rPr>
          <w:bCs/>
          <w:sz w:val="22"/>
          <w:szCs w:val="22"/>
        </w:rPr>
        <w:t xml:space="preserve"> comma 4, lett </w:t>
      </w:r>
      <w:r w:rsidRPr="0076288C">
        <w:rPr>
          <w:sz w:val="22"/>
          <w:szCs w:val="22"/>
        </w:rPr>
        <w:t>c) "</w:t>
      </w:r>
      <w:r w:rsidRPr="0076288C">
        <w:rPr>
          <w:i/>
          <w:iCs/>
          <w:sz w:val="22"/>
          <w:szCs w:val="22"/>
        </w:rPr>
        <w:t>per i servizi e le forniture di importo inferiore alla soglia di cui all'</w:t>
      </w:r>
      <w:hyperlink r:id="rId8" w:anchor="035" w:history="1">
        <w:r w:rsidRPr="0076288C">
          <w:rPr>
            <w:rStyle w:val="Hyperlink"/>
            <w:i/>
            <w:iCs/>
            <w:sz w:val="22"/>
            <w:szCs w:val="22"/>
          </w:rPr>
          <w:t>articolo 35</w:t>
        </w:r>
      </w:hyperlink>
      <w:r w:rsidRPr="0076288C">
        <w:rPr>
          <w:i/>
          <w:iCs/>
          <w:sz w:val="22"/>
          <w:szCs w:val="22"/>
        </w:rPr>
        <w:t>, caratterizzati da elevata ripetitività, fatta eccezione per quelli di notevole contenuto tecnologico o che hanno un carattere innovativo"</w:t>
      </w:r>
      <w:r w:rsidRPr="0076288C">
        <w:rPr>
          <w:sz w:val="22"/>
          <w:szCs w:val="22"/>
        </w:rPr>
        <w:t xml:space="preserve">. </w:t>
      </w:r>
    </w:p>
    <w:p w:rsidR="00CC50F1" w:rsidRPr="0076288C" w:rsidRDefault="00CC50F1" w:rsidP="00E15164">
      <w:pPr>
        <w:pStyle w:val="NormalWeb"/>
        <w:numPr>
          <w:ilvl w:val="0"/>
          <w:numId w:val="10"/>
        </w:numPr>
        <w:tabs>
          <w:tab w:val="left" w:pos="720"/>
        </w:tabs>
        <w:jc w:val="both"/>
        <w:rPr>
          <w:sz w:val="22"/>
          <w:szCs w:val="22"/>
        </w:rPr>
      </w:pPr>
      <w:r w:rsidRPr="0076288C">
        <w:rPr>
          <w:sz w:val="22"/>
          <w:szCs w:val="22"/>
        </w:rPr>
        <w:t>Si procederà al calcolo della soglia di anomalia ai sensi dell'art.</w:t>
      </w:r>
      <w:bookmarkStart w:id="1" w:name="097"/>
      <w:bookmarkEnd w:id="1"/>
      <w:r w:rsidRPr="0076288C">
        <w:rPr>
          <w:bCs/>
          <w:sz w:val="22"/>
          <w:szCs w:val="22"/>
        </w:rPr>
        <w:t xml:space="preserve"> 97. (Offerte anormalmente basse) </w:t>
      </w:r>
      <w:r w:rsidRPr="0076288C">
        <w:rPr>
          <w:sz w:val="22"/>
          <w:szCs w:val="22"/>
        </w:rPr>
        <w:t>del D.lgs 50/2016 secondo il seguenti commi:</w:t>
      </w:r>
    </w:p>
    <w:p w:rsidR="00CC50F1" w:rsidRPr="0076288C" w:rsidRDefault="00CC50F1" w:rsidP="00E15164">
      <w:pPr>
        <w:pStyle w:val="NormalWeb"/>
        <w:numPr>
          <w:ilvl w:val="1"/>
          <w:numId w:val="10"/>
        </w:numPr>
        <w:tabs>
          <w:tab w:val="left" w:pos="1421"/>
        </w:tabs>
        <w:jc w:val="both"/>
        <w:rPr>
          <w:i/>
          <w:iCs/>
          <w:sz w:val="22"/>
          <w:szCs w:val="22"/>
        </w:rPr>
      </w:pPr>
      <w:r w:rsidRPr="0076288C">
        <w:rPr>
          <w:sz w:val="22"/>
          <w:szCs w:val="22"/>
        </w:rPr>
        <w:t>comma 2 "</w:t>
      </w:r>
      <w:r w:rsidRPr="0076288C">
        <w:rPr>
          <w:i/>
          <w:iCs/>
          <w:sz w:val="22"/>
          <w:szCs w:val="22"/>
        </w:rPr>
        <w:t xml:space="preserve">quando il criterio di aggiudicazione è quello del prezzo più basso la congruità delle offerte è valutata sulle offerte che presentano un ribasso pari o superiore ad una soglia di anomalia determinata, al fine di non rendere predeterminabili dai candidati i parametri di riferimento per il calcolo della soglia, procedendo al sorteggio, in sede di gara, di uno dei seguenti metodi: </w:t>
      </w:r>
    </w:p>
    <w:p w:rsidR="00CC50F1" w:rsidRPr="0076288C" w:rsidRDefault="00CC50F1" w:rsidP="00E15164">
      <w:pPr>
        <w:pStyle w:val="NormalWeb"/>
        <w:numPr>
          <w:ilvl w:val="2"/>
          <w:numId w:val="10"/>
        </w:numPr>
        <w:tabs>
          <w:tab w:val="left" w:pos="2160"/>
        </w:tabs>
        <w:spacing w:before="0" w:after="0"/>
        <w:jc w:val="both"/>
        <w:rPr>
          <w:i/>
          <w:iCs/>
          <w:sz w:val="22"/>
          <w:szCs w:val="22"/>
        </w:rPr>
      </w:pPr>
      <w:r w:rsidRPr="0076288C">
        <w:rPr>
          <w:i/>
          <w:iCs/>
          <w:sz w:val="22"/>
          <w:szCs w:val="22"/>
        </w:rPr>
        <w:t xml:space="preserve">media aritmetica dei ribassi percentuali di tutte le offerte ammesse, con esclusione del dieci per cento, arrotondato all'unità superiore, rispettivamente delle offerte di maggior ribasso e di quelle di minor ribasso, incrementata dello scarto medio aritmetico dei ribassi percentuali che superano la predetta media; </w:t>
      </w:r>
    </w:p>
    <w:p w:rsidR="00CC50F1" w:rsidRPr="0076288C" w:rsidRDefault="00CC50F1" w:rsidP="00E15164">
      <w:pPr>
        <w:pStyle w:val="NormalWeb"/>
        <w:numPr>
          <w:ilvl w:val="2"/>
          <w:numId w:val="10"/>
        </w:numPr>
        <w:tabs>
          <w:tab w:val="left" w:pos="2160"/>
        </w:tabs>
        <w:spacing w:before="0" w:after="0"/>
        <w:jc w:val="both"/>
        <w:rPr>
          <w:i/>
          <w:iCs/>
          <w:sz w:val="22"/>
          <w:szCs w:val="22"/>
        </w:rPr>
      </w:pPr>
      <w:r w:rsidRPr="0076288C">
        <w:rPr>
          <w:i/>
          <w:iCs/>
          <w:sz w:val="22"/>
          <w:szCs w:val="22"/>
        </w:rPr>
        <w:t xml:space="preserve">media aritmetica dei ribassi percentuali di tutte le offerte ammesse, con esclusione del dieci per cento, tenuto conto che se la prima cifra dopo la virgola, della somma dei ribassi offerti dai concorrenti ammessi è pari ovvero uguale a zero la media resta invariata; qualora invece la prima cifra dopo la virgola, della somma dei ribassi offerti dai concorrenti ammessi è dispari, la media viene decrementata percentualmente di un valore pari a tale cifra; </w:t>
      </w:r>
    </w:p>
    <w:p w:rsidR="00CC50F1" w:rsidRPr="0076288C" w:rsidRDefault="00CC50F1" w:rsidP="00E15164">
      <w:pPr>
        <w:pStyle w:val="NormalWeb"/>
        <w:numPr>
          <w:ilvl w:val="2"/>
          <w:numId w:val="10"/>
        </w:numPr>
        <w:tabs>
          <w:tab w:val="left" w:pos="2160"/>
        </w:tabs>
        <w:spacing w:before="0" w:after="0"/>
        <w:jc w:val="both"/>
        <w:rPr>
          <w:i/>
          <w:iCs/>
          <w:sz w:val="22"/>
          <w:szCs w:val="22"/>
        </w:rPr>
      </w:pPr>
      <w:r w:rsidRPr="0076288C">
        <w:rPr>
          <w:i/>
          <w:iCs/>
          <w:sz w:val="22"/>
          <w:szCs w:val="22"/>
        </w:rPr>
        <w:t xml:space="preserve">media aritmetica dei ribassi percentuali di tutte le offerte ammesse, incrementata del 20 per cento; </w:t>
      </w:r>
    </w:p>
    <w:p w:rsidR="00CC50F1" w:rsidRPr="0076288C" w:rsidRDefault="00CC50F1" w:rsidP="00E15164">
      <w:pPr>
        <w:pStyle w:val="NormalWeb"/>
        <w:numPr>
          <w:ilvl w:val="2"/>
          <w:numId w:val="10"/>
        </w:numPr>
        <w:tabs>
          <w:tab w:val="left" w:pos="2160"/>
        </w:tabs>
        <w:spacing w:before="0" w:after="0"/>
        <w:jc w:val="both"/>
        <w:rPr>
          <w:i/>
          <w:iCs/>
          <w:sz w:val="22"/>
          <w:szCs w:val="22"/>
        </w:rPr>
      </w:pPr>
      <w:r w:rsidRPr="0076288C">
        <w:rPr>
          <w:i/>
          <w:iCs/>
          <w:sz w:val="22"/>
          <w:szCs w:val="22"/>
        </w:rPr>
        <w:t xml:space="preserve">media aritmetica dei ribassi in termini assoluti di tutte le offerte ammesse, decurtata del 20 per cento; </w:t>
      </w:r>
    </w:p>
    <w:p w:rsidR="00CC50F1" w:rsidRPr="0076288C" w:rsidRDefault="00CC50F1" w:rsidP="00E15164">
      <w:pPr>
        <w:pStyle w:val="NormalWeb"/>
        <w:numPr>
          <w:ilvl w:val="2"/>
          <w:numId w:val="10"/>
        </w:numPr>
        <w:tabs>
          <w:tab w:val="left" w:pos="2160"/>
        </w:tabs>
        <w:spacing w:before="0" w:after="0"/>
        <w:jc w:val="both"/>
        <w:rPr>
          <w:i/>
          <w:iCs/>
          <w:sz w:val="22"/>
          <w:szCs w:val="22"/>
        </w:rPr>
      </w:pPr>
      <w:r w:rsidRPr="0076288C">
        <w:rPr>
          <w:i/>
          <w:iCs/>
          <w:sz w:val="22"/>
          <w:szCs w:val="22"/>
        </w:rPr>
        <w:t>media aritmetica dei ribassi percentuali di tutte le offerte ammesse, con esclusione del dieci per cento, arrotondato all'unità superiore, rispettivamente delle offerte di maggior ribasso e di quelle di minor ribasso, incrementata dello scarto medio aritmetico dei ribassi percentuali che superano la predetta media, moltiplicato per un coefficiente sorteggiato dalla commissione giudicatrice all'atto del suo insediamento tra i seguenti valori: 0,6; 0,8; 1; 1,2; 1,4; "</w:t>
      </w:r>
    </w:p>
    <w:p w:rsidR="00CC50F1" w:rsidRPr="0076288C" w:rsidRDefault="00CC50F1" w:rsidP="00E15164">
      <w:pPr>
        <w:pStyle w:val="NormalWeb"/>
        <w:numPr>
          <w:ilvl w:val="1"/>
          <w:numId w:val="10"/>
        </w:numPr>
        <w:tabs>
          <w:tab w:val="left" w:pos="1421"/>
        </w:tabs>
        <w:spacing w:before="0" w:after="0"/>
        <w:jc w:val="both"/>
        <w:rPr>
          <w:sz w:val="22"/>
          <w:szCs w:val="22"/>
        </w:rPr>
      </w:pPr>
      <w:r w:rsidRPr="0076288C">
        <w:rPr>
          <w:i/>
          <w:iCs/>
          <w:sz w:val="22"/>
          <w:szCs w:val="22"/>
        </w:rPr>
        <w:t>Commi 4, 5 e 6</w:t>
      </w:r>
    </w:p>
    <w:p w:rsidR="00CC50F1" w:rsidRPr="0076288C" w:rsidRDefault="00CC50F1" w:rsidP="00E15164">
      <w:pPr>
        <w:pStyle w:val="NormalWeb"/>
        <w:numPr>
          <w:ilvl w:val="1"/>
          <w:numId w:val="10"/>
        </w:numPr>
        <w:tabs>
          <w:tab w:val="left" w:pos="1421"/>
        </w:tabs>
        <w:spacing w:before="0" w:after="0"/>
        <w:jc w:val="both"/>
        <w:rPr>
          <w:sz w:val="22"/>
          <w:szCs w:val="22"/>
        </w:rPr>
      </w:pPr>
      <w:r w:rsidRPr="0076288C">
        <w:rPr>
          <w:sz w:val="22"/>
          <w:szCs w:val="22"/>
        </w:rPr>
        <w:t xml:space="preserve">Comma 8: </w:t>
      </w:r>
      <w:r w:rsidRPr="0076288C">
        <w:rPr>
          <w:i/>
          <w:iCs/>
          <w:sz w:val="22"/>
          <w:szCs w:val="22"/>
        </w:rPr>
        <w:t>"Per lavori, servizi e forniture, quando il criterio di aggiudicazione è quello del prezzo più basso e comunque per importi inferiori alle soglie di cui all'</w:t>
      </w:r>
      <w:hyperlink r:id="rId9" w:anchor="035" w:history="1">
        <w:r w:rsidRPr="0076288C">
          <w:rPr>
            <w:rStyle w:val="Hyperlink"/>
            <w:i/>
            <w:iCs/>
            <w:sz w:val="22"/>
            <w:szCs w:val="22"/>
          </w:rPr>
          <w:t>articolo 35</w:t>
        </w:r>
      </w:hyperlink>
      <w:r w:rsidRPr="0076288C">
        <w:rPr>
          <w:i/>
          <w:iCs/>
          <w:sz w:val="22"/>
          <w:szCs w:val="22"/>
        </w:rPr>
        <w:t xml:space="preserve">, la stazione appaltante può prevedere nel bando l'esclusione automatica dalla gara delle offerte che presentano una percentuale di ribasso pari o superiore alla soglia di anomalia individuata ai sensi del comma </w:t>
      </w:r>
      <w:smartTag w:uri="urn:schemas-microsoft-com:office:smarttags" w:element="metricconverter">
        <w:smartTagPr>
          <w:attr w:name="ProductID" w:val="3, L"/>
        </w:smartTagPr>
        <w:r w:rsidRPr="0076288C">
          <w:rPr>
            <w:i/>
            <w:iCs/>
            <w:sz w:val="22"/>
            <w:szCs w:val="22"/>
          </w:rPr>
          <w:t>2. In</w:t>
        </w:r>
      </w:smartTag>
      <w:r w:rsidRPr="0076288C">
        <w:rPr>
          <w:i/>
          <w:iCs/>
          <w:sz w:val="22"/>
          <w:szCs w:val="22"/>
        </w:rPr>
        <w:t xml:space="preserve"> tal caso non si applicano i commi 4, 5 e 6. Comunque la facoltà di esclusione automatica non è esercitabile quando il numero delle offerte ammesse è inferiore a dieci."</w:t>
      </w:r>
    </w:p>
    <w:p w:rsidR="00CC50F1" w:rsidRPr="0076288C" w:rsidRDefault="00CC50F1" w:rsidP="00065469">
      <w:pPr>
        <w:pStyle w:val="Heading3"/>
        <w:keepNext w:val="0"/>
        <w:numPr>
          <w:ilvl w:val="0"/>
          <w:numId w:val="13"/>
        </w:numPr>
        <w:tabs>
          <w:tab w:val="left" w:pos="2520"/>
        </w:tabs>
        <w:autoSpaceDE/>
        <w:spacing w:before="0" w:after="0"/>
        <w:jc w:val="both"/>
        <w:rPr>
          <w:rFonts w:ascii="Times New Roman" w:hAnsi="Times New Roman" w:cs="Times New Roman"/>
          <w:b w:val="0"/>
          <w:bCs w:val="0"/>
          <w:sz w:val="22"/>
          <w:szCs w:val="22"/>
        </w:rPr>
      </w:pPr>
      <w:r w:rsidRPr="0076288C">
        <w:rPr>
          <w:rFonts w:ascii="Times New Roman" w:hAnsi="Times New Roman" w:cs="Times New Roman"/>
          <w:b w:val="0"/>
          <w:bCs w:val="0"/>
          <w:sz w:val="22"/>
          <w:szCs w:val="22"/>
        </w:rPr>
        <w:t>Il principio della trasparenza viene garantito sia dal rispetto degli specifici obblighi di pubblicità posti dall’articolo 36 del d.lgs 33/2013 nonché dall’articolo 29 del D.lgs 50/2016;</w:t>
      </w:r>
    </w:p>
    <w:p w:rsidR="00CC50F1" w:rsidRPr="0076288C" w:rsidRDefault="00CC50F1" w:rsidP="00065469">
      <w:pPr>
        <w:pStyle w:val="Heading3"/>
        <w:keepNext w:val="0"/>
        <w:numPr>
          <w:ilvl w:val="0"/>
          <w:numId w:val="13"/>
        </w:numPr>
        <w:tabs>
          <w:tab w:val="left" w:pos="2520"/>
        </w:tabs>
        <w:autoSpaceDE/>
        <w:spacing w:before="0" w:after="0"/>
        <w:jc w:val="both"/>
        <w:rPr>
          <w:rFonts w:ascii="Times New Roman" w:hAnsi="Times New Roman" w:cs="Times New Roman"/>
          <w:sz w:val="22"/>
          <w:szCs w:val="22"/>
        </w:rPr>
      </w:pPr>
      <w:r w:rsidRPr="0076288C">
        <w:rPr>
          <w:rFonts w:ascii="Times New Roman" w:hAnsi="Times New Roman" w:cs="Times New Roman"/>
          <w:b w:val="0"/>
          <w:bCs w:val="0"/>
          <w:sz w:val="22"/>
          <w:szCs w:val="22"/>
        </w:rPr>
        <w:t>L’aggiudicazione avverrà a seguito della verifica del possesso dei requisiti di ordine generale (Artt. 80-88 del D.lgs 50/2016) e della presentazione della documentazione probatoria indicata nella lettera di invito;</w:t>
      </w:r>
    </w:p>
    <w:p w:rsidR="00CC50F1" w:rsidRPr="0076288C" w:rsidRDefault="00CC50F1" w:rsidP="00E15164">
      <w:pPr>
        <w:pStyle w:val="BodyText3"/>
        <w:numPr>
          <w:ilvl w:val="0"/>
          <w:numId w:val="9"/>
        </w:numPr>
        <w:tabs>
          <w:tab w:val="left" w:pos="720"/>
        </w:tabs>
        <w:jc w:val="both"/>
        <w:rPr>
          <w:sz w:val="22"/>
          <w:szCs w:val="22"/>
        </w:rPr>
      </w:pPr>
      <w:r w:rsidRPr="0076288C">
        <w:rPr>
          <w:color w:val="000000"/>
          <w:sz w:val="22"/>
          <w:szCs w:val="22"/>
        </w:rPr>
        <w:t xml:space="preserve">La scelta del contraente verrà effettuata mediante l'ausilio della piattaforma START della Regione Toscana </w:t>
      </w:r>
      <w:r w:rsidRPr="0076288C">
        <w:rPr>
          <w:spacing w:val="-2"/>
          <w:sz w:val="22"/>
          <w:szCs w:val="22"/>
        </w:rPr>
        <w:t>con le modalità di cui al d.P.R. n. 207/2010</w:t>
      </w:r>
      <w:r w:rsidRPr="0076288C">
        <w:rPr>
          <w:sz w:val="22"/>
          <w:szCs w:val="22"/>
        </w:rPr>
        <w:t>;</w:t>
      </w:r>
    </w:p>
    <w:p w:rsidR="00CC50F1" w:rsidRPr="0076288C" w:rsidRDefault="00CC50F1" w:rsidP="00E15164">
      <w:pPr>
        <w:pStyle w:val="ListParagraph"/>
        <w:numPr>
          <w:ilvl w:val="0"/>
          <w:numId w:val="9"/>
        </w:numPr>
        <w:tabs>
          <w:tab w:val="left" w:pos="720"/>
        </w:tabs>
        <w:suppressAutoHyphens/>
        <w:autoSpaceDE/>
        <w:autoSpaceDN/>
        <w:spacing w:before="0"/>
      </w:pPr>
      <w:r w:rsidRPr="0076288C">
        <w:t>Il termine per la ricezione delle offerte è stabilito ed indicato nella procedura START;-</w:t>
      </w:r>
    </w:p>
    <w:p w:rsidR="00CC50F1" w:rsidRPr="0076288C" w:rsidRDefault="00CC50F1" w:rsidP="00AA0C34">
      <w:pPr>
        <w:pStyle w:val="ListParagraph"/>
        <w:numPr>
          <w:ilvl w:val="0"/>
          <w:numId w:val="9"/>
        </w:numPr>
        <w:tabs>
          <w:tab w:val="left" w:pos="720"/>
        </w:tabs>
        <w:suppressAutoHyphens/>
        <w:autoSpaceDE/>
        <w:autoSpaceDN/>
        <w:spacing w:before="0"/>
      </w:pPr>
      <w:r w:rsidRPr="0076288C">
        <w:t>La fornitura sarà aggiudicata al concorrente che avrà indicato la percentuale di sconto più alta. Lo sconto dovrà essere espresso in percentuale con al massimo due cifre decimali oltre l’unità. Nel caso l’offerta presenti tre o più cifre dopo la virgola, l’Amministrazione appaltante procederà automaticamente all’arrotondamento in difetto qualora la terza cifra sia compresa tra zero e quattro, ed in eccesso qualora la terza cifra sia compresa tra cinque e nove. Nel caso di discordanza tra la percentuale di sconto indicata in cifre e quella indicata in lettere, si terrà per valida quella più conveniente per l’Amministrazione appaltante, in applicazione del disposto dell’art. 72, comma 2, del R.D. 23 maggio 1924, n. 827.</w:t>
      </w:r>
    </w:p>
    <w:p w:rsidR="00CC50F1" w:rsidRPr="0076288C" w:rsidRDefault="00CC50F1">
      <w:pPr>
        <w:pStyle w:val="Heading1"/>
        <w:keepNext w:val="0"/>
        <w:numPr>
          <w:ilvl w:val="0"/>
          <w:numId w:val="0"/>
        </w:numPr>
        <w:suppressAutoHyphens w:val="0"/>
        <w:autoSpaceDN w:val="0"/>
        <w:spacing w:line="240" w:lineRule="auto"/>
        <w:ind w:left="1010"/>
        <w:rPr>
          <w:rFonts w:ascii="Times New Roman" w:hAnsi="Times New Roman" w:cs="Times New Roman"/>
          <w:i w:val="0"/>
          <w:iCs w:val="0"/>
          <w:sz w:val="22"/>
          <w:szCs w:val="22"/>
          <w:u w:val="none"/>
          <w:lang w:eastAsia="it-IT"/>
        </w:rPr>
      </w:pPr>
    </w:p>
    <w:p w:rsidR="00CC50F1" w:rsidRPr="0076288C" w:rsidRDefault="00CC50F1">
      <w:pPr>
        <w:pStyle w:val="Heading1"/>
        <w:keepNext w:val="0"/>
        <w:numPr>
          <w:ilvl w:val="0"/>
          <w:numId w:val="0"/>
        </w:numPr>
        <w:suppressAutoHyphens w:val="0"/>
        <w:autoSpaceDN w:val="0"/>
        <w:spacing w:line="240" w:lineRule="auto"/>
        <w:ind w:left="1010"/>
        <w:rPr>
          <w:rFonts w:ascii="Times New Roman" w:hAnsi="Times New Roman" w:cs="Times New Roman"/>
          <w:i w:val="0"/>
          <w:iCs w:val="0"/>
          <w:sz w:val="22"/>
          <w:szCs w:val="22"/>
          <w:u w:val="none"/>
          <w:lang w:eastAsia="it-IT"/>
        </w:rPr>
      </w:pPr>
      <w:r w:rsidRPr="0076288C">
        <w:rPr>
          <w:rFonts w:ascii="Times New Roman" w:hAnsi="Times New Roman" w:cs="Times New Roman"/>
          <w:i w:val="0"/>
          <w:iCs w:val="0"/>
          <w:sz w:val="22"/>
          <w:szCs w:val="22"/>
          <w:u w:val="none"/>
          <w:lang w:eastAsia="it-IT"/>
        </w:rPr>
        <w:t>Art. 6 - OSSERVANZA DELLE LEGGI E REGOLAMENTI IN VIGORE</w:t>
      </w:r>
    </w:p>
    <w:p w:rsidR="00CC50F1" w:rsidRPr="0076288C" w:rsidRDefault="00CC50F1">
      <w:pPr>
        <w:pStyle w:val="BodyText"/>
        <w:spacing w:before="171" w:line="276" w:lineRule="auto"/>
        <w:ind w:left="232" w:right="218"/>
        <w:rPr>
          <w:sz w:val="22"/>
          <w:szCs w:val="22"/>
        </w:rPr>
      </w:pPr>
      <w:r w:rsidRPr="0076288C">
        <w:rPr>
          <w:sz w:val="22"/>
          <w:szCs w:val="22"/>
        </w:rPr>
        <w:t xml:space="preserve">L’appaltatore è soggetto alla piena ed intera osservanza di tutte le norme legislative in materia di appalti pubblici, sicurezza e salute dei lavoratori, sicurezza degli impianti. L’appaltatore si obbliga ad attuare nei confronti dei lavoratori dipendenti occupati nei lavori costituenti oggetto del presente atto e se cooperative, anche nei confronti dei soci, condizioni normative e retributive non inferiori a quelle risultanti dai contratti collettivi di lavoro applicabili, alla data dell’offerta, alla categoria e nella località in cui si svolgono i lavori, nonché le condizioni risultanti dalle successive modifiche e/o integrazioni ed in genere ad ogni altro contratto collettivo applicabile nella località che per la categoria venga successivamente stipulato. </w:t>
      </w:r>
      <w:r w:rsidRPr="0076288C">
        <w:rPr>
          <w:spacing w:val="-3"/>
          <w:sz w:val="22"/>
          <w:szCs w:val="22"/>
        </w:rPr>
        <w:t xml:space="preserve">La </w:t>
      </w:r>
      <w:r w:rsidRPr="0076288C">
        <w:rPr>
          <w:sz w:val="22"/>
          <w:szCs w:val="22"/>
        </w:rPr>
        <w:t>ditta si obbliga infine ad osservare quanto previsto da ogni norma di legge vigente in materia di contributi a fini mutualistici, nonché delle competenze spettanti agli operai per ferie, gratifiche, ecc.</w:t>
      </w:r>
    </w:p>
    <w:p w:rsidR="00CC50F1" w:rsidRPr="0076288C" w:rsidRDefault="00CC50F1">
      <w:pPr>
        <w:pStyle w:val="Heading1"/>
        <w:keepNext w:val="0"/>
        <w:numPr>
          <w:ilvl w:val="0"/>
          <w:numId w:val="0"/>
        </w:numPr>
        <w:suppressAutoHyphens w:val="0"/>
        <w:autoSpaceDN w:val="0"/>
        <w:spacing w:before="90" w:line="240" w:lineRule="auto"/>
        <w:ind w:left="1915"/>
        <w:rPr>
          <w:rFonts w:ascii="Times New Roman" w:hAnsi="Times New Roman" w:cs="Times New Roman"/>
          <w:i w:val="0"/>
          <w:iCs w:val="0"/>
          <w:sz w:val="22"/>
          <w:szCs w:val="22"/>
          <w:u w:val="none"/>
          <w:lang w:eastAsia="it-IT"/>
        </w:rPr>
      </w:pPr>
      <w:r w:rsidRPr="0076288C">
        <w:rPr>
          <w:rFonts w:ascii="Times New Roman" w:hAnsi="Times New Roman" w:cs="Times New Roman"/>
          <w:i w:val="0"/>
          <w:iCs w:val="0"/>
          <w:sz w:val="22"/>
          <w:szCs w:val="22"/>
          <w:u w:val="none"/>
          <w:lang w:eastAsia="it-IT"/>
        </w:rPr>
        <w:t>Art. 7 – CIRCOLAZIONE STRADALE: NORMATIVA</w:t>
      </w:r>
    </w:p>
    <w:p w:rsidR="00CC50F1" w:rsidRDefault="00CC50F1">
      <w:pPr>
        <w:pStyle w:val="BodyText"/>
        <w:spacing w:line="276" w:lineRule="auto"/>
        <w:ind w:left="232" w:right="227"/>
        <w:rPr>
          <w:sz w:val="22"/>
          <w:szCs w:val="22"/>
        </w:rPr>
      </w:pPr>
    </w:p>
    <w:p w:rsidR="00CC50F1" w:rsidRPr="0076288C" w:rsidRDefault="00CC50F1">
      <w:pPr>
        <w:pStyle w:val="BodyText"/>
        <w:spacing w:line="276" w:lineRule="auto"/>
        <w:ind w:left="232" w:right="227"/>
        <w:rPr>
          <w:sz w:val="22"/>
          <w:szCs w:val="22"/>
        </w:rPr>
      </w:pPr>
      <w:r>
        <w:rPr>
          <w:sz w:val="22"/>
          <w:szCs w:val="22"/>
        </w:rPr>
        <w:t>I veicoli</w:t>
      </w:r>
      <w:r w:rsidRPr="0076288C">
        <w:rPr>
          <w:sz w:val="22"/>
          <w:szCs w:val="22"/>
        </w:rPr>
        <w:t xml:space="preserve"> dovr</w:t>
      </w:r>
      <w:r>
        <w:rPr>
          <w:sz w:val="22"/>
          <w:szCs w:val="22"/>
        </w:rPr>
        <w:t>anno</w:t>
      </w:r>
      <w:r w:rsidRPr="0076288C">
        <w:rPr>
          <w:sz w:val="22"/>
          <w:szCs w:val="22"/>
        </w:rPr>
        <w:t xml:space="preserve"> corrispondere in ogni </w:t>
      </w:r>
      <w:r>
        <w:rPr>
          <w:sz w:val="22"/>
          <w:szCs w:val="22"/>
        </w:rPr>
        <w:t>loro</w:t>
      </w:r>
      <w:r w:rsidRPr="0076288C">
        <w:rPr>
          <w:sz w:val="22"/>
          <w:szCs w:val="22"/>
        </w:rPr>
        <w:t xml:space="preserve"> caratteristica e componente al T.U. delle norme sulla disciplina della circolazione stradale e del relativo regolamento di esecuzione in vigore.</w:t>
      </w:r>
    </w:p>
    <w:p w:rsidR="00CC50F1" w:rsidRPr="0076288C" w:rsidRDefault="00CC50F1">
      <w:pPr>
        <w:pStyle w:val="BodyText"/>
        <w:spacing w:line="276" w:lineRule="auto"/>
        <w:ind w:left="232" w:right="222"/>
        <w:rPr>
          <w:sz w:val="22"/>
          <w:szCs w:val="22"/>
        </w:rPr>
      </w:pPr>
      <w:r>
        <w:rPr>
          <w:sz w:val="22"/>
          <w:szCs w:val="22"/>
        </w:rPr>
        <w:t xml:space="preserve">Dovranno </w:t>
      </w:r>
      <w:r w:rsidRPr="0076288C">
        <w:rPr>
          <w:sz w:val="22"/>
          <w:szCs w:val="22"/>
        </w:rPr>
        <w:t>rispondere altresì in ogni sua caratteristica alle norme CE per veicoli a motore operanti in Italia e dovr</w:t>
      </w:r>
      <w:r>
        <w:rPr>
          <w:sz w:val="22"/>
          <w:szCs w:val="22"/>
        </w:rPr>
        <w:t>anno</w:t>
      </w:r>
      <w:r w:rsidRPr="0076288C">
        <w:rPr>
          <w:sz w:val="22"/>
          <w:szCs w:val="22"/>
        </w:rPr>
        <w:t>, nel suo complesso, essere rispondent</w:t>
      </w:r>
      <w:r>
        <w:rPr>
          <w:sz w:val="22"/>
          <w:szCs w:val="22"/>
        </w:rPr>
        <w:t>i</w:t>
      </w:r>
      <w:r w:rsidRPr="0076288C">
        <w:rPr>
          <w:sz w:val="22"/>
          <w:szCs w:val="22"/>
        </w:rPr>
        <w:t xml:space="preserve"> alla normativa vigente ed essere omologat</w:t>
      </w:r>
      <w:r>
        <w:rPr>
          <w:sz w:val="22"/>
          <w:szCs w:val="22"/>
        </w:rPr>
        <w:t>i</w:t>
      </w:r>
      <w:r w:rsidRPr="0076288C">
        <w:rPr>
          <w:sz w:val="22"/>
          <w:szCs w:val="22"/>
        </w:rPr>
        <w:t>, e provvist</w:t>
      </w:r>
      <w:r>
        <w:rPr>
          <w:sz w:val="22"/>
          <w:szCs w:val="22"/>
        </w:rPr>
        <w:t>i</w:t>
      </w:r>
      <w:r w:rsidRPr="0076288C">
        <w:rPr>
          <w:sz w:val="22"/>
          <w:szCs w:val="22"/>
        </w:rPr>
        <w:t xml:space="preserve"> di documentazione e targhe per la circolazione su strada, dai competenti uffici della D.G.M.C.T.C. a cura della Ditta aggiudicataria.</w:t>
      </w:r>
    </w:p>
    <w:p w:rsidR="00CC50F1" w:rsidRPr="0076288C" w:rsidRDefault="00CC50F1">
      <w:pPr>
        <w:pStyle w:val="BodyText"/>
        <w:spacing w:before="1"/>
        <w:jc w:val="left"/>
        <w:rPr>
          <w:sz w:val="22"/>
          <w:szCs w:val="22"/>
        </w:rPr>
      </w:pPr>
    </w:p>
    <w:p w:rsidR="00CC50F1" w:rsidRPr="0076288C" w:rsidRDefault="00CC50F1">
      <w:pPr>
        <w:pStyle w:val="Heading1"/>
        <w:keepNext w:val="0"/>
        <w:numPr>
          <w:ilvl w:val="0"/>
          <w:numId w:val="0"/>
        </w:numPr>
        <w:suppressAutoHyphens w:val="0"/>
        <w:autoSpaceDN w:val="0"/>
        <w:spacing w:line="240" w:lineRule="auto"/>
        <w:ind w:left="2815"/>
        <w:rPr>
          <w:rFonts w:ascii="Times New Roman" w:hAnsi="Times New Roman" w:cs="Times New Roman"/>
          <w:i w:val="0"/>
          <w:iCs w:val="0"/>
          <w:sz w:val="22"/>
          <w:szCs w:val="22"/>
          <w:u w:val="none"/>
          <w:lang w:eastAsia="it-IT"/>
        </w:rPr>
      </w:pPr>
      <w:r w:rsidRPr="0076288C">
        <w:rPr>
          <w:rFonts w:ascii="Times New Roman" w:hAnsi="Times New Roman" w:cs="Times New Roman"/>
          <w:i w:val="0"/>
          <w:iCs w:val="0"/>
          <w:sz w:val="22"/>
          <w:szCs w:val="22"/>
          <w:u w:val="none"/>
          <w:lang w:eastAsia="it-IT"/>
        </w:rPr>
        <w:t xml:space="preserve">Art. </w:t>
      </w:r>
      <w:r>
        <w:rPr>
          <w:rFonts w:ascii="Times New Roman" w:hAnsi="Times New Roman" w:cs="Times New Roman"/>
          <w:i w:val="0"/>
          <w:iCs w:val="0"/>
          <w:sz w:val="22"/>
          <w:szCs w:val="22"/>
          <w:u w:val="none"/>
          <w:lang w:eastAsia="it-IT"/>
        </w:rPr>
        <w:t>8</w:t>
      </w:r>
      <w:r w:rsidRPr="0076288C">
        <w:rPr>
          <w:rFonts w:ascii="Times New Roman" w:hAnsi="Times New Roman" w:cs="Times New Roman"/>
          <w:i w:val="0"/>
          <w:iCs w:val="0"/>
          <w:sz w:val="22"/>
          <w:szCs w:val="22"/>
          <w:u w:val="none"/>
          <w:lang w:eastAsia="it-IT"/>
        </w:rPr>
        <w:t xml:space="preserve"> </w:t>
      </w:r>
      <w:r w:rsidRPr="0076288C">
        <w:rPr>
          <w:rFonts w:ascii="Times New Roman" w:hAnsi="Times New Roman" w:cs="Times New Roman"/>
          <w:b w:val="0"/>
          <w:i w:val="0"/>
          <w:iCs w:val="0"/>
          <w:sz w:val="22"/>
          <w:szCs w:val="22"/>
          <w:u w:val="none"/>
          <w:lang w:eastAsia="it-IT"/>
        </w:rPr>
        <w:t xml:space="preserve">– </w:t>
      </w:r>
      <w:r w:rsidRPr="0076288C">
        <w:rPr>
          <w:rFonts w:ascii="Times New Roman" w:hAnsi="Times New Roman" w:cs="Times New Roman"/>
          <w:i w:val="0"/>
          <w:iCs w:val="0"/>
          <w:sz w:val="22"/>
          <w:szCs w:val="22"/>
          <w:u w:val="none"/>
          <w:lang w:eastAsia="it-IT"/>
        </w:rPr>
        <w:t>VERIFICHE E COLLAUDO</w:t>
      </w:r>
    </w:p>
    <w:p w:rsidR="00CC50F1" w:rsidRPr="0076288C" w:rsidRDefault="00CC50F1" w:rsidP="004E1CE1">
      <w:pPr>
        <w:spacing w:line="276" w:lineRule="auto"/>
        <w:ind w:left="232" w:right="216"/>
        <w:jc w:val="both"/>
      </w:pPr>
    </w:p>
    <w:p w:rsidR="00CC50F1" w:rsidRPr="0076288C" w:rsidRDefault="00CC50F1" w:rsidP="004E1CE1">
      <w:pPr>
        <w:spacing w:line="276" w:lineRule="auto"/>
        <w:ind w:left="232" w:right="216"/>
        <w:jc w:val="both"/>
      </w:pPr>
      <w:r>
        <w:t>Gli autocarri</w:t>
      </w:r>
      <w:r w:rsidRPr="0076288C">
        <w:t xml:space="preserve"> oggetto della fornitura verr</w:t>
      </w:r>
      <w:r>
        <w:t>anno</w:t>
      </w:r>
      <w:r w:rsidRPr="0076288C">
        <w:t xml:space="preserve"> sottopost</w:t>
      </w:r>
      <w:r>
        <w:t>i</w:t>
      </w:r>
      <w:r w:rsidRPr="0076288C">
        <w:t xml:space="preserve">, a cura della Stazione appaltante, entro </w:t>
      </w:r>
      <w:r w:rsidRPr="0076288C">
        <w:rPr>
          <w:b/>
          <w:spacing w:val="-3"/>
        </w:rPr>
        <w:t xml:space="preserve">15 </w:t>
      </w:r>
      <w:r w:rsidRPr="0076288C">
        <w:rPr>
          <w:b/>
        </w:rPr>
        <w:t xml:space="preserve">(quindici) giorni </w:t>
      </w:r>
      <w:r w:rsidRPr="0076288C">
        <w:t xml:space="preserve">dalla data di consegna, a verifica e collaudo a mezzo di proprio personale o anche a mezzo di soggetti esterni, per l’accertamento della rispondenza degli autocarri forniti alle condizioni  ed alle caratteristiche indicate nell’offerta e nei documenti illustrativi che </w:t>
      </w:r>
      <w:r>
        <w:t>li</w:t>
      </w:r>
      <w:r w:rsidRPr="0076288C">
        <w:t xml:space="preserve"> accompagnano, nonché</w:t>
      </w:r>
      <w:r w:rsidRPr="0076288C">
        <w:rPr>
          <w:spacing w:val="7"/>
        </w:rPr>
        <w:t xml:space="preserve"> </w:t>
      </w:r>
      <w:r w:rsidRPr="0076288C">
        <w:t>per l’eventuale accertamento di vizi strutturali o funzionali che risultino evidenti. La verifica si intende positivamente superata solo se sia accertata:</w:t>
      </w:r>
    </w:p>
    <w:p w:rsidR="00CC50F1" w:rsidRPr="0076288C" w:rsidRDefault="00CC50F1" w:rsidP="004E1CE1">
      <w:pPr>
        <w:pStyle w:val="BodyText"/>
        <w:numPr>
          <w:ilvl w:val="1"/>
          <w:numId w:val="14"/>
        </w:numPr>
        <w:spacing w:before="15"/>
        <w:rPr>
          <w:sz w:val="22"/>
          <w:szCs w:val="22"/>
        </w:rPr>
      </w:pPr>
      <w:r w:rsidRPr="0076288C">
        <w:rPr>
          <w:sz w:val="22"/>
          <w:szCs w:val="22"/>
        </w:rPr>
        <w:t>la perfetta funzionalità dei veicoli;</w:t>
      </w:r>
    </w:p>
    <w:p w:rsidR="00CC50F1" w:rsidRPr="0076288C" w:rsidRDefault="00CC50F1" w:rsidP="004E1CE1">
      <w:pPr>
        <w:pStyle w:val="BodyText"/>
        <w:numPr>
          <w:ilvl w:val="1"/>
          <w:numId w:val="14"/>
        </w:numPr>
        <w:spacing w:before="58"/>
        <w:rPr>
          <w:sz w:val="22"/>
          <w:szCs w:val="22"/>
        </w:rPr>
      </w:pPr>
      <w:r w:rsidRPr="0076288C">
        <w:rPr>
          <w:sz w:val="22"/>
          <w:szCs w:val="22"/>
        </w:rPr>
        <w:t>la completezza e la rispondenza degli allestimenti richiesti;</w:t>
      </w:r>
    </w:p>
    <w:p w:rsidR="00CC50F1" w:rsidRPr="0076288C" w:rsidRDefault="00CC50F1" w:rsidP="004E1CE1">
      <w:pPr>
        <w:pStyle w:val="BodyText"/>
        <w:numPr>
          <w:ilvl w:val="1"/>
          <w:numId w:val="14"/>
        </w:numPr>
        <w:spacing w:before="60" w:line="276" w:lineRule="auto"/>
        <w:ind w:right="244"/>
        <w:rPr>
          <w:sz w:val="22"/>
          <w:szCs w:val="22"/>
        </w:rPr>
      </w:pPr>
      <w:r w:rsidRPr="0076288C">
        <w:rPr>
          <w:sz w:val="22"/>
          <w:szCs w:val="22"/>
        </w:rPr>
        <w:t>la completa rispondenza con quanto disposto dalle normative di legge applicabili in tema di Codice della</w:t>
      </w:r>
      <w:r w:rsidRPr="0076288C">
        <w:rPr>
          <w:spacing w:val="-5"/>
          <w:sz w:val="22"/>
          <w:szCs w:val="22"/>
        </w:rPr>
        <w:t xml:space="preserve"> </w:t>
      </w:r>
      <w:r w:rsidRPr="0076288C">
        <w:rPr>
          <w:sz w:val="22"/>
          <w:szCs w:val="22"/>
        </w:rPr>
        <w:t>Strada.</w:t>
      </w:r>
    </w:p>
    <w:p w:rsidR="00CC50F1" w:rsidRPr="0076288C" w:rsidRDefault="00CC50F1">
      <w:pPr>
        <w:pStyle w:val="BodyText"/>
        <w:spacing w:line="276" w:lineRule="auto"/>
        <w:ind w:left="232" w:right="222"/>
        <w:rPr>
          <w:sz w:val="22"/>
          <w:szCs w:val="22"/>
        </w:rPr>
      </w:pPr>
      <w:r w:rsidRPr="0076288C">
        <w:rPr>
          <w:sz w:val="22"/>
          <w:szCs w:val="22"/>
        </w:rPr>
        <w:t>Trascorso il predetto termine senza che abbia luogo il collaudo, salvo la ricorrenza di legittime cause di impedimento, il bene consegnato si intenderà accettato dalla Stazione appaltante.</w:t>
      </w:r>
    </w:p>
    <w:p w:rsidR="00CC50F1" w:rsidRPr="0076288C" w:rsidRDefault="00CC50F1">
      <w:pPr>
        <w:pStyle w:val="BodyText"/>
        <w:spacing w:line="276" w:lineRule="auto"/>
        <w:ind w:left="232" w:right="213"/>
        <w:rPr>
          <w:sz w:val="22"/>
          <w:szCs w:val="22"/>
        </w:rPr>
      </w:pPr>
      <w:r w:rsidRPr="0076288C">
        <w:rPr>
          <w:sz w:val="22"/>
          <w:szCs w:val="22"/>
        </w:rPr>
        <w:t>Nel caso in cui, in esito al collaudo, l’autocarro/i oggetto della fornitura o singole parti dello/gli stesso/i non siano accettate dalla Stazione appaltante perché non conformi alle condizioni richieste, ovvero affette da vizi di cui al primo comma, verrà redatto verbale a cura dell’incaricato al collaudo che verrà tempestivamente comunicato alla ditta fornitrice.</w:t>
      </w:r>
    </w:p>
    <w:p w:rsidR="00CC50F1" w:rsidRPr="0076288C" w:rsidRDefault="00CC50F1">
      <w:pPr>
        <w:pStyle w:val="BodyText"/>
        <w:spacing w:line="276" w:lineRule="auto"/>
        <w:ind w:left="232" w:right="217"/>
        <w:rPr>
          <w:sz w:val="22"/>
          <w:szCs w:val="22"/>
        </w:rPr>
      </w:pPr>
      <w:r w:rsidRPr="0076288C">
        <w:rPr>
          <w:sz w:val="22"/>
          <w:szCs w:val="22"/>
        </w:rPr>
        <w:t xml:space="preserve">La ditta fornitrice, entro </w:t>
      </w:r>
      <w:r w:rsidRPr="0076288C">
        <w:rPr>
          <w:b/>
          <w:sz w:val="22"/>
          <w:szCs w:val="22"/>
        </w:rPr>
        <w:t xml:space="preserve">15 (quindici) giorni </w:t>
      </w:r>
      <w:r w:rsidRPr="0076288C">
        <w:rPr>
          <w:sz w:val="22"/>
          <w:szCs w:val="22"/>
        </w:rPr>
        <w:t>dalla ricezione della comunicazione di contestazione dei vizi o delle difformità di cui sopra, dovrà provvedere a propria cura e spese alla sostituzione integrale o parziale dei componenti strutturali e funzionali, compresi quelli attinenti alle attrezzature accessorie installate, che risultino difformi e/o viziate.</w:t>
      </w:r>
    </w:p>
    <w:p w:rsidR="00CC50F1" w:rsidRPr="0076288C" w:rsidRDefault="00CC50F1" w:rsidP="0025063F">
      <w:pPr>
        <w:pStyle w:val="BodyText"/>
        <w:spacing w:line="276" w:lineRule="auto"/>
        <w:ind w:left="232" w:right="244"/>
        <w:rPr>
          <w:sz w:val="22"/>
          <w:szCs w:val="22"/>
        </w:rPr>
      </w:pPr>
      <w:r w:rsidRPr="0076288C">
        <w:rPr>
          <w:sz w:val="22"/>
          <w:szCs w:val="22"/>
        </w:rPr>
        <w:t xml:space="preserve">Nell’ipotesi in cui l’autocarro venga riconsegnato oltre il termine di 15 giorni, ovvero vengano riscontrate ancora affetto da vizi e/o difformità sulla base di accertamento con idoneo verbale, si intende come non consegnato alla Stazione appaltante. </w:t>
      </w:r>
    </w:p>
    <w:p w:rsidR="00CC50F1" w:rsidRDefault="00CC50F1">
      <w:pPr>
        <w:pStyle w:val="BodyText"/>
        <w:spacing w:before="8"/>
        <w:jc w:val="left"/>
        <w:rPr>
          <w:sz w:val="22"/>
          <w:szCs w:val="22"/>
        </w:rPr>
      </w:pPr>
    </w:p>
    <w:p w:rsidR="00CC50F1" w:rsidRDefault="00CC50F1" w:rsidP="0076288C">
      <w:pPr>
        <w:pStyle w:val="BodyText"/>
        <w:spacing w:before="8"/>
        <w:jc w:val="right"/>
        <w:rPr>
          <w:sz w:val="22"/>
          <w:szCs w:val="22"/>
        </w:rPr>
      </w:pPr>
    </w:p>
    <w:p w:rsidR="00CC50F1" w:rsidRDefault="00CC50F1" w:rsidP="0076288C">
      <w:pPr>
        <w:pStyle w:val="BodyText"/>
        <w:spacing w:before="8"/>
        <w:jc w:val="right"/>
        <w:rPr>
          <w:sz w:val="22"/>
          <w:szCs w:val="22"/>
        </w:rPr>
      </w:pPr>
    </w:p>
    <w:p w:rsidR="00CC50F1" w:rsidRDefault="00CC50F1" w:rsidP="0076288C">
      <w:pPr>
        <w:pStyle w:val="BodyText"/>
        <w:spacing w:before="8"/>
        <w:ind w:left="4320" w:firstLine="720"/>
        <w:jc w:val="center"/>
        <w:rPr>
          <w:sz w:val="22"/>
          <w:szCs w:val="22"/>
        </w:rPr>
      </w:pPr>
      <w:r>
        <w:rPr>
          <w:sz w:val="22"/>
          <w:szCs w:val="22"/>
        </w:rPr>
        <w:t>Il Dirigente dell’Area Tecnica</w:t>
      </w:r>
    </w:p>
    <w:p w:rsidR="00CC50F1" w:rsidRDefault="00CC50F1" w:rsidP="0076288C">
      <w:pPr>
        <w:pStyle w:val="BodyText"/>
        <w:spacing w:before="8"/>
        <w:jc w:val="right"/>
        <w:rPr>
          <w:sz w:val="22"/>
          <w:szCs w:val="22"/>
        </w:rPr>
      </w:pPr>
    </w:p>
    <w:p w:rsidR="00CC50F1" w:rsidRPr="004E1CE1" w:rsidRDefault="00CC50F1" w:rsidP="0076288C">
      <w:pPr>
        <w:pStyle w:val="BodyText"/>
        <w:spacing w:before="8"/>
        <w:ind w:left="4320" w:firstLine="720"/>
        <w:jc w:val="center"/>
        <w:rPr>
          <w:sz w:val="22"/>
          <w:szCs w:val="22"/>
        </w:rPr>
      </w:pPr>
      <w:r>
        <w:rPr>
          <w:sz w:val="22"/>
          <w:szCs w:val="22"/>
        </w:rPr>
        <w:t>Arch. Detti Fabio</w:t>
      </w:r>
    </w:p>
    <w:sectPr w:rsidR="00CC50F1" w:rsidRPr="004E1CE1" w:rsidSect="00E15164">
      <w:headerReference w:type="default" r:id="rId10"/>
      <w:pgSz w:w="11910" w:h="16840"/>
      <w:pgMar w:top="899" w:right="1340" w:bottom="1860" w:left="900" w:header="361" w:footer="16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0F1" w:rsidRDefault="00CC50F1" w:rsidP="00EB485C">
      <w:r>
        <w:separator/>
      </w:r>
    </w:p>
  </w:endnote>
  <w:endnote w:type="continuationSeparator" w:id="0">
    <w:p w:rsidR="00CC50F1" w:rsidRDefault="00CC50F1" w:rsidP="00EB48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AsterLTStd">
    <w:altName w:val="New Aster 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0F1" w:rsidRDefault="00CC50F1" w:rsidP="00EB485C">
      <w:r>
        <w:separator/>
      </w:r>
    </w:p>
  </w:footnote>
  <w:footnote w:type="continuationSeparator" w:id="0">
    <w:p w:rsidR="00CC50F1" w:rsidRDefault="00CC50F1" w:rsidP="00EB4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0F1" w:rsidRDefault="00CC50F1">
    <w:pPr>
      <w:pStyle w:val="BodyText"/>
      <w:spacing w:line="14" w:lineRule="auto"/>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name w:val="RTF_Num 2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14"/>
    <w:multiLevelType w:val="multilevel"/>
    <w:tmpl w:val="00000014"/>
    <w:name w:val="RTF_Num 39"/>
    <w:lvl w:ilvl="0">
      <w:start w:val="1"/>
      <w:numFmt w:val="bullet"/>
      <w:lvlText w:val=""/>
      <w:lvlJc w:val="left"/>
      <w:pPr>
        <w:tabs>
          <w:tab w:val="num" w:pos="720"/>
        </w:tabs>
        <w:ind w:left="720" w:hanging="360"/>
      </w:pPr>
      <w:rPr>
        <w:rFonts w:ascii="Symbol" w:hAnsi="Symbol"/>
        <w:b/>
      </w:rPr>
    </w:lvl>
    <w:lvl w:ilvl="1">
      <w:numFmt w:val="bullet"/>
      <w:lvlText w:val="•"/>
      <w:lvlJc w:val="left"/>
      <w:pPr>
        <w:tabs>
          <w:tab w:val="num" w:pos="1421"/>
        </w:tabs>
        <w:ind w:left="1421" w:hanging="360"/>
      </w:pPr>
      <w:rPr>
        <w:rFonts w:ascii="NewAsterLTStd" w:hAnsi="NewAsterLTStd"/>
        <w:b/>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bullet"/>
      <w:lvlText w:val=""/>
      <w:lvlJc w:val="left"/>
      <w:pPr>
        <w:tabs>
          <w:tab w:val="num" w:pos="2880"/>
        </w:tabs>
        <w:ind w:left="2880" w:hanging="360"/>
      </w:pPr>
      <w:rPr>
        <w:rFonts w:ascii="Symbol" w:hAnsi="Symbol"/>
        <w:b/>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2">
    <w:nsid w:val="0000001D"/>
    <w:multiLevelType w:val="multilevel"/>
    <w:tmpl w:val="0000001D"/>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6E661DB"/>
    <w:multiLevelType w:val="hybridMultilevel"/>
    <w:tmpl w:val="FFFFFFFF"/>
    <w:lvl w:ilvl="0" w:tplc="C0BED6D4">
      <w:numFmt w:val="bullet"/>
      <w:lvlText w:val="-"/>
      <w:lvlJc w:val="left"/>
      <w:pPr>
        <w:ind w:left="232" w:hanging="337"/>
      </w:pPr>
      <w:rPr>
        <w:rFonts w:ascii="Times New Roman" w:eastAsia="Times New Roman" w:hAnsi="Times New Roman" w:hint="default"/>
        <w:spacing w:val="-3"/>
        <w:w w:val="99"/>
        <w:sz w:val="24"/>
      </w:rPr>
    </w:lvl>
    <w:lvl w:ilvl="1" w:tplc="30268D7A">
      <w:numFmt w:val="bullet"/>
      <w:lvlText w:val="•"/>
      <w:lvlJc w:val="left"/>
      <w:pPr>
        <w:ind w:left="1182" w:hanging="337"/>
      </w:pPr>
      <w:rPr>
        <w:rFonts w:hint="default"/>
      </w:rPr>
    </w:lvl>
    <w:lvl w:ilvl="2" w:tplc="FBF44F98">
      <w:numFmt w:val="bullet"/>
      <w:lvlText w:val="•"/>
      <w:lvlJc w:val="left"/>
      <w:pPr>
        <w:ind w:left="2125" w:hanging="337"/>
      </w:pPr>
      <w:rPr>
        <w:rFonts w:hint="default"/>
      </w:rPr>
    </w:lvl>
    <w:lvl w:ilvl="3" w:tplc="FFC490D0">
      <w:numFmt w:val="bullet"/>
      <w:lvlText w:val="•"/>
      <w:lvlJc w:val="left"/>
      <w:pPr>
        <w:ind w:left="3067" w:hanging="337"/>
      </w:pPr>
      <w:rPr>
        <w:rFonts w:hint="default"/>
      </w:rPr>
    </w:lvl>
    <w:lvl w:ilvl="4" w:tplc="22DA5950">
      <w:numFmt w:val="bullet"/>
      <w:lvlText w:val="•"/>
      <w:lvlJc w:val="left"/>
      <w:pPr>
        <w:ind w:left="4010" w:hanging="337"/>
      </w:pPr>
      <w:rPr>
        <w:rFonts w:hint="default"/>
      </w:rPr>
    </w:lvl>
    <w:lvl w:ilvl="5" w:tplc="BF329BA8">
      <w:numFmt w:val="bullet"/>
      <w:lvlText w:val="•"/>
      <w:lvlJc w:val="left"/>
      <w:pPr>
        <w:ind w:left="4953" w:hanging="337"/>
      </w:pPr>
      <w:rPr>
        <w:rFonts w:hint="default"/>
      </w:rPr>
    </w:lvl>
    <w:lvl w:ilvl="6" w:tplc="232E09AC">
      <w:numFmt w:val="bullet"/>
      <w:lvlText w:val="•"/>
      <w:lvlJc w:val="left"/>
      <w:pPr>
        <w:ind w:left="5895" w:hanging="337"/>
      </w:pPr>
      <w:rPr>
        <w:rFonts w:hint="default"/>
      </w:rPr>
    </w:lvl>
    <w:lvl w:ilvl="7" w:tplc="77986AAC">
      <w:numFmt w:val="bullet"/>
      <w:lvlText w:val="•"/>
      <w:lvlJc w:val="left"/>
      <w:pPr>
        <w:ind w:left="6838" w:hanging="337"/>
      </w:pPr>
      <w:rPr>
        <w:rFonts w:hint="default"/>
      </w:rPr>
    </w:lvl>
    <w:lvl w:ilvl="8" w:tplc="C58283BC">
      <w:numFmt w:val="bullet"/>
      <w:lvlText w:val="•"/>
      <w:lvlJc w:val="left"/>
      <w:pPr>
        <w:ind w:left="7781" w:hanging="337"/>
      </w:pPr>
      <w:rPr>
        <w:rFonts w:hint="default"/>
      </w:rPr>
    </w:lvl>
  </w:abstractNum>
  <w:abstractNum w:abstractNumId="4">
    <w:nsid w:val="087776D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0A6D257B"/>
    <w:multiLevelType w:val="hybridMultilevel"/>
    <w:tmpl w:val="FFFFFFFF"/>
    <w:lvl w:ilvl="0" w:tplc="5552821E">
      <w:numFmt w:val="bullet"/>
      <w:lvlText w:val="-"/>
      <w:lvlJc w:val="left"/>
      <w:pPr>
        <w:ind w:left="372" w:hanging="140"/>
      </w:pPr>
      <w:rPr>
        <w:rFonts w:ascii="Times New Roman" w:eastAsia="Times New Roman" w:hAnsi="Times New Roman" w:hint="default"/>
        <w:w w:val="99"/>
        <w:sz w:val="24"/>
      </w:rPr>
    </w:lvl>
    <w:lvl w:ilvl="1" w:tplc="4F30440A">
      <w:numFmt w:val="bullet"/>
      <w:lvlText w:val="•"/>
      <w:lvlJc w:val="left"/>
      <w:pPr>
        <w:ind w:left="1308" w:hanging="140"/>
      </w:pPr>
      <w:rPr>
        <w:rFonts w:hint="default"/>
      </w:rPr>
    </w:lvl>
    <w:lvl w:ilvl="2" w:tplc="97C050DE">
      <w:numFmt w:val="bullet"/>
      <w:lvlText w:val="•"/>
      <w:lvlJc w:val="left"/>
      <w:pPr>
        <w:ind w:left="2237" w:hanging="140"/>
      </w:pPr>
      <w:rPr>
        <w:rFonts w:hint="default"/>
      </w:rPr>
    </w:lvl>
    <w:lvl w:ilvl="3" w:tplc="CE4CF5D6">
      <w:numFmt w:val="bullet"/>
      <w:lvlText w:val="•"/>
      <w:lvlJc w:val="left"/>
      <w:pPr>
        <w:ind w:left="3165" w:hanging="140"/>
      </w:pPr>
      <w:rPr>
        <w:rFonts w:hint="default"/>
      </w:rPr>
    </w:lvl>
    <w:lvl w:ilvl="4" w:tplc="BD12E6D6">
      <w:numFmt w:val="bullet"/>
      <w:lvlText w:val="•"/>
      <w:lvlJc w:val="left"/>
      <w:pPr>
        <w:ind w:left="4094" w:hanging="140"/>
      </w:pPr>
      <w:rPr>
        <w:rFonts w:hint="default"/>
      </w:rPr>
    </w:lvl>
    <w:lvl w:ilvl="5" w:tplc="577490B2">
      <w:numFmt w:val="bullet"/>
      <w:lvlText w:val="•"/>
      <w:lvlJc w:val="left"/>
      <w:pPr>
        <w:ind w:left="5023" w:hanging="140"/>
      </w:pPr>
      <w:rPr>
        <w:rFonts w:hint="default"/>
      </w:rPr>
    </w:lvl>
    <w:lvl w:ilvl="6" w:tplc="9C28249A">
      <w:numFmt w:val="bullet"/>
      <w:lvlText w:val="•"/>
      <w:lvlJc w:val="left"/>
      <w:pPr>
        <w:ind w:left="5951" w:hanging="140"/>
      </w:pPr>
      <w:rPr>
        <w:rFonts w:hint="default"/>
      </w:rPr>
    </w:lvl>
    <w:lvl w:ilvl="7" w:tplc="AD3693DC">
      <w:numFmt w:val="bullet"/>
      <w:lvlText w:val="•"/>
      <w:lvlJc w:val="left"/>
      <w:pPr>
        <w:ind w:left="6880" w:hanging="140"/>
      </w:pPr>
      <w:rPr>
        <w:rFonts w:hint="default"/>
      </w:rPr>
    </w:lvl>
    <w:lvl w:ilvl="8" w:tplc="E36E84B2">
      <w:numFmt w:val="bullet"/>
      <w:lvlText w:val="•"/>
      <w:lvlJc w:val="left"/>
      <w:pPr>
        <w:ind w:left="7809" w:hanging="140"/>
      </w:pPr>
      <w:rPr>
        <w:rFonts w:hint="default"/>
      </w:rPr>
    </w:lvl>
  </w:abstractNum>
  <w:abstractNum w:abstractNumId="6">
    <w:nsid w:val="0D343F0A"/>
    <w:multiLevelType w:val="hybridMultilevel"/>
    <w:tmpl w:val="FFFFFFFF"/>
    <w:lvl w:ilvl="0" w:tplc="47644268">
      <w:numFmt w:val="bullet"/>
      <w:lvlText w:val="-"/>
      <w:lvlJc w:val="left"/>
      <w:pPr>
        <w:ind w:left="232" w:hanging="140"/>
      </w:pPr>
      <w:rPr>
        <w:rFonts w:ascii="Times New Roman" w:eastAsia="Times New Roman" w:hAnsi="Times New Roman" w:hint="default"/>
        <w:w w:val="99"/>
        <w:sz w:val="24"/>
      </w:rPr>
    </w:lvl>
    <w:lvl w:ilvl="1" w:tplc="EE361B66">
      <w:numFmt w:val="bullet"/>
      <w:lvlText w:val="•"/>
      <w:lvlJc w:val="left"/>
      <w:pPr>
        <w:ind w:left="1182" w:hanging="140"/>
      </w:pPr>
      <w:rPr>
        <w:rFonts w:hint="default"/>
      </w:rPr>
    </w:lvl>
    <w:lvl w:ilvl="2" w:tplc="9550ADB0">
      <w:numFmt w:val="bullet"/>
      <w:lvlText w:val="•"/>
      <w:lvlJc w:val="left"/>
      <w:pPr>
        <w:ind w:left="2125" w:hanging="140"/>
      </w:pPr>
      <w:rPr>
        <w:rFonts w:hint="default"/>
      </w:rPr>
    </w:lvl>
    <w:lvl w:ilvl="3" w:tplc="A7504140">
      <w:numFmt w:val="bullet"/>
      <w:lvlText w:val="•"/>
      <w:lvlJc w:val="left"/>
      <w:pPr>
        <w:ind w:left="3067" w:hanging="140"/>
      </w:pPr>
      <w:rPr>
        <w:rFonts w:hint="default"/>
      </w:rPr>
    </w:lvl>
    <w:lvl w:ilvl="4" w:tplc="8090A5AA">
      <w:numFmt w:val="bullet"/>
      <w:lvlText w:val="•"/>
      <w:lvlJc w:val="left"/>
      <w:pPr>
        <w:ind w:left="4010" w:hanging="140"/>
      </w:pPr>
      <w:rPr>
        <w:rFonts w:hint="default"/>
      </w:rPr>
    </w:lvl>
    <w:lvl w:ilvl="5" w:tplc="182E1A08">
      <w:numFmt w:val="bullet"/>
      <w:lvlText w:val="•"/>
      <w:lvlJc w:val="left"/>
      <w:pPr>
        <w:ind w:left="4953" w:hanging="140"/>
      </w:pPr>
      <w:rPr>
        <w:rFonts w:hint="default"/>
      </w:rPr>
    </w:lvl>
    <w:lvl w:ilvl="6" w:tplc="0BAAE616">
      <w:numFmt w:val="bullet"/>
      <w:lvlText w:val="•"/>
      <w:lvlJc w:val="left"/>
      <w:pPr>
        <w:ind w:left="5895" w:hanging="140"/>
      </w:pPr>
      <w:rPr>
        <w:rFonts w:hint="default"/>
      </w:rPr>
    </w:lvl>
    <w:lvl w:ilvl="7" w:tplc="79508CA8">
      <w:numFmt w:val="bullet"/>
      <w:lvlText w:val="•"/>
      <w:lvlJc w:val="left"/>
      <w:pPr>
        <w:ind w:left="6838" w:hanging="140"/>
      </w:pPr>
      <w:rPr>
        <w:rFonts w:hint="default"/>
      </w:rPr>
    </w:lvl>
    <w:lvl w:ilvl="8" w:tplc="83FCF726">
      <w:numFmt w:val="bullet"/>
      <w:lvlText w:val="•"/>
      <w:lvlJc w:val="left"/>
      <w:pPr>
        <w:ind w:left="7781" w:hanging="140"/>
      </w:pPr>
      <w:rPr>
        <w:rFonts w:hint="default"/>
      </w:rPr>
    </w:lvl>
  </w:abstractNum>
  <w:abstractNum w:abstractNumId="7">
    <w:nsid w:val="11D25446"/>
    <w:multiLevelType w:val="hybridMultilevel"/>
    <w:tmpl w:val="76E4929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2073B02"/>
    <w:multiLevelType w:val="hybridMultilevel"/>
    <w:tmpl w:val="FFFFFFFF"/>
    <w:lvl w:ilvl="0" w:tplc="FAA2CA16">
      <w:numFmt w:val="bullet"/>
      <w:lvlText w:val="-"/>
      <w:lvlJc w:val="left"/>
      <w:pPr>
        <w:ind w:left="379" w:hanging="147"/>
      </w:pPr>
      <w:rPr>
        <w:rFonts w:ascii="Arial" w:eastAsia="Times New Roman" w:hAnsi="Arial" w:hint="default"/>
        <w:w w:val="99"/>
        <w:sz w:val="24"/>
      </w:rPr>
    </w:lvl>
    <w:lvl w:ilvl="1" w:tplc="6472C12E">
      <w:numFmt w:val="bullet"/>
      <w:lvlText w:val="•"/>
      <w:lvlJc w:val="left"/>
      <w:pPr>
        <w:ind w:left="1308" w:hanging="147"/>
      </w:pPr>
      <w:rPr>
        <w:rFonts w:hint="default"/>
      </w:rPr>
    </w:lvl>
    <w:lvl w:ilvl="2" w:tplc="A93AB57A">
      <w:numFmt w:val="bullet"/>
      <w:lvlText w:val="•"/>
      <w:lvlJc w:val="left"/>
      <w:pPr>
        <w:ind w:left="2237" w:hanging="147"/>
      </w:pPr>
      <w:rPr>
        <w:rFonts w:hint="default"/>
      </w:rPr>
    </w:lvl>
    <w:lvl w:ilvl="3" w:tplc="76A6454E">
      <w:numFmt w:val="bullet"/>
      <w:lvlText w:val="•"/>
      <w:lvlJc w:val="left"/>
      <w:pPr>
        <w:ind w:left="3165" w:hanging="147"/>
      </w:pPr>
      <w:rPr>
        <w:rFonts w:hint="default"/>
      </w:rPr>
    </w:lvl>
    <w:lvl w:ilvl="4" w:tplc="55F4EF18">
      <w:numFmt w:val="bullet"/>
      <w:lvlText w:val="•"/>
      <w:lvlJc w:val="left"/>
      <w:pPr>
        <w:ind w:left="4094" w:hanging="147"/>
      </w:pPr>
      <w:rPr>
        <w:rFonts w:hint="default"/>
      </w:rPr>
    </w:lvl>
    <w:lvl w:ilvl="5" w:tplc="FB4A1258">
      <w:numFmt w:val="bullet"/>
      <w:lvlText w:val="•"/>
      <w:lvlJc w:val="left"/>
      <w:pPr>
        <w:ind w:left="5023" w:hanging="147"/>
      </w:pPr>
      <w:rPr>
        <w:rFonts w:hint="default"/>
      </w:rPr>
    </w:lvl>
    <w:lvl w:ilvl="6" w:tplc="FA38D63A">
      <w:numFmt w:val="bullet"/>
      <w:lvlText w:val="•"/>
      <w:lvlJc w:val="left"/>
      <w:pPr>
        <w:ind w:left="5951" w:hanging="147"/>
      </w:pPr>
      <w:rPr>
        <w:rFonts w:hint="default"/>
      </w:rPr>
    </w:lvl>
    <w:lvl w:ilvl="7" w:tplc="FE907060">
      <w:numFmt w:val="bullet"/>
      <w:lvlText w:val="•"/>
      <w:lvlJc w:val="left"/>
      <w:pPr>
        <w:ind w:left="6880" w:hanging="147"/>
      </w:pPr>
      <w:rPr>
        <w:rFonts w:hint="default"/>
      </w:rPr>
    </w:lvl>
    <w:lvl w:ilvl="8" w:tplc="9E96794E">
      <w:numFmt w:val="bullet"/>
      <w:lvlText w:val="•"/>
      <w:lvlJc w:val="left"/>
      <w:pPr>
        <w:ind w:left="7809" w:hanging="147"/>
      </w:pPr>
      <w:rPr>
        <w:rFonts w:hint="default"/>
      </w:rPr>
    </w:lvl>
  </w:abstractNum>
  <w:abstractNum w:abstractNumId="9">
    <w:nsid w:val="21ED3FCF"/>
    <w:multiLevelType w:val="multilevel"/>
    <w:tmpl w:val="6A9C5246"/>
    <w:lvl w:ilvl="0">
      <w:start w:val="1"/>
      <w:numFmt w:val="bullet"/>
      <w:lvlText w:val=""/>
      <w:lvlJc w:val="left"/>
      <w:pPr>
        <w:tabs>
          <w:tab w:val="num" w:pos="720"/>
        </w:tabs>
        <w:ind w:left="720" w:hanging="360"/>
      </w:pPr>
      <w:rPr>
        <w:rFonts w:ascii="Symbol" w:hAnsi="Symbol"/>
        <w:b/>
      </w:rPr>
    </w:lvl>
    <w:lvl w:ilvl="1">
      <w:numFmt w:val="bullet"/>
      <w:lvlText w:val="•"/>
      <w:lvlJc w:val="left"/>
      <w:pPr>
        <w:tabs>
          <w:tab w:val="num" w:pos="1421"/>
        </w:tabs>
        <w:ind w:left="1421" w:hanging="360"/>
      </w:pPr>
      <w:rPr>
        <w:rFonts w:ascii="NewAsterLTStd" w:hAnsi="NewAsterLTStd"/>
        <w:b/>
      </w:rPr>
    </w:lvl>
    <w:lvl w:ilvl="2">
      <w:start w:val="1"/>
      <w:numFmt w:val="bullet"/>
      <w:lvlText w:val="o"/>
      <w:lvlJc w:val="left"/>
      <w:pPr>
        <w:tabs>
          <w:tab w:val="num" w:pos="2160"/>
        </w:tabs>
        <w:ind w:left="2160" w:hanging="360"/>
      </w:pPr>
      <w:rPr>
        <w:rFonts w:ascii="Courier New" w:hAnsi="Courier New" w:hint="default"/>
        <w:b/>
      </w:rPr>
    </w:lvl>
    <w:lvl w:ilvl="3">
      <w:start w:val="1"/>
      <w:numFmt w:val="bullet"/>
      <w:lvlText w:val=""/>
      <w:lvlJc w:val="left"/>
      <w:pPr>
        <w:tabs>
          <w:tab w:val="num" w:pos="2880"/>
        </w:tabs>
        <w:ind w:left="2880" w:hanging="360"/>
      </w:pPr>
      <w:rPr>
        <w:rFonts w:ascii="Symbol" w:hAnsi="Symbol"/>
        <w:b/>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0">
    <w:nsid w:val="24C959F1"/>
    <w:multiLevelType w:val="hybridMultilevel"/>
    <w:tmpl w:val="FFFFFFFF"/>
    <w:lvl w:ilvl="0" w:tplc="65D4D330">
      <w:numFmt w:val="bullet"/>
      <w:lvlText w:val="-"/>
      <w:lvlJc w:val="left"/>
      <w:pPr>
        <w:ind w:left="372" w:hanging="140"/>
      </w:pPr>
      <w:rPr>
        <w:rFonts w:ascii="Times New Roman" w:eastAsia="Times New Roman" w:hAnsi="Times New Roman" w:hint="default"/>
        <w:w w:val="99"/>
        <w:sz w:val="24"/>
      </w:rPr>
    </w:lvl>
    <w:lvl w:ilvl="1" w:tplc="5D4C9D48">
      <w:numFmt w:val="bullet"/>
      <w:lvlText w:val="•"/>
      <w:lvlJc w:val="left"/>
      <w:pPr>
        <w:ind w:left="1308" w:hanging="140"/>
      </w:pPr>
      <w:rPr>
        <w:rFonts w:hint="default"/>
      </w:rPr>
    </w:lvl>
    <w:lvl w:ilvl="2" w:tplc="6BF2A444">
      <w:numFmt w:val="bullet"/>
      <w:lvlText w:val="•"/>
      <w:lvlJc w:val="left"/>
      <w:pPr>
        <w:ind w:left="2237" w:hanging="140"/>
      </w:pPr>
      <w:rPr>
        <w:rFonts w:hint="default"/>
      </w:rPr>
    </w:lvl>
    <w:lvl w:ilvl="3" w:tplc="2C74D438">
      <w:numFmt w:val="bullet"/>
      <w:lvlText w:val="•"/>
      <w:lvlJc w:val="left"/>
      <w:pPr>
        <w:ind w:left="3165" w:hanging="140"/>
      </w:pPr>
      <w:rPr>
        <w:rFonts w:hint="default"/>
      </w:rPr>
    </w:lvl>
    <w:lvl w:ilvl="4" w:tplc="22A8D710">
      <w:numFmt w:val="bullet"/>
      <w:lvlText w:val="•"/>
      <w:lvlJc w:val="left"/>
      <w:pPr>
        <w:ind w:left="4094" w:hanging="140"/>
      </w:pPr>
      <w:rPr>
        <w:rFonts w:hint="default"/>
      </w:rPr>
    </w:lvl>
    <w:lvl w:ilvl="5" w:tplc="04745270">
      <w:numFmt w:val="bullet"/>
      <w:lvlText w:val="•"/>
      <w:lvlJc w:val="left"/>
      <w:pPr>
        <w:ind w:left="5023" w:hanging="140"/>
      </w:pPr>
      <w:rPr>
        <w:rFonts w:hint="default"/>
      </w:rPr>
    </w:lvl>
    <w:lvl w:ilvl="6" w:tplc="2B06E828">
      <w:numFmt w:val="bullet"/>
      <w:lvlText w:val="•"/>
      <w:lvlJc w:val="left"/>
      <w:pPr>
        <w:ind w:left="5951" w:hanging="140"/>
      </w:pPr>
      <w:rPr>
        <w:rFonts w:hint="default"/>
      </w:rPr>
    </w:lvl>
    <w:lvl w:ilvl="7" w:tplc="0EA08666">
      <w:numFmt w:val="bullet"/>
      <w:lvlText w:val="•"/>
      <w:lvlJc w:val="left"/>
      <w:pPr>
        <w:ind w:left="6880" w:hanging="140"/>
      </w:pPr>
      <w:rPr>
        <w:rFonts w:hint="default"/>
      </w:rPr>
    </w:lvl>
    <w:lvl w:ilvl="8" w:tplc="8CAAF664">
      <w:numFmt w:val="bullet"/>
      <w:lvlText w:val="•"/>
      <w:lvlJc w:val="left"/>
      <w:pPr>
        <w:ind w:left="7809" w:hanging="140"/>
      </w:pPr>
      <w:rPr>
        <w:rFonts w:hint="default"/>
      </w:rPr>
    </w:lvl>
  </w:abstractNum>
  <w:abstractNum w:abstractNumId="11">
    <w:nsid w:val="458E0CF0"/>
    <w:multiLevelType w:val="hybridMultilevel"/>
    <w:tmpl w:val="FFFFFFFF"/>
    <w:lvl w:ilvl="0" w:tplc="1226A286">
      <w:start w:val="1"/>
      <w:numFmt w:val="decimal"/>
      <w:lvlText w:val="%1."/>
      <w:lvlJc w:val="left"/>
      <w:pPr>
        <w:ind w:left="590" w:hanging="359"/>
      </w:pPr>
      <w:rPr>
        <w:rFonts w:ascii="Times New Roman" w:eastAsia="Times New Roman" w:hAnsi="Times New Roman" w:cs="Times New Roman" w:hint="default"/>
        <w:spacing w:val="-30"/>
        <w:w w:val="99"/>
        <w:sz w:val="24"/>
        <w:szCs w:val="24"/>
      </w:rPr>
    </w:lvl>
    <w:lvl w:ilvl="1" w:tplc="75D03C82">
      <w:numFmt w:val="bullet"/>
      <w:lvlText w:val="•"/>
      <w:lvlJc w:val="left"/>
      <w:pPr>
        <w:ind w:left="1506" w:hanging="359"/>
      </w:pPr>
      <w:rPr>
        <w:rFonts w:hint="default"/>
      </w:rPr>
    </w:lvl>
    <w:lvl w:ilvl="2" w:tplc="9F562184">
      <w:numFmt w:val="bullet"/>
      <w:lvlText w:val="•"/>
      <w:lvlJc w:val="left"/>
      <w:pPr>
        <w:ind w:left="2413" w:hanging="359"/>
      </w:pPr>
      <w:rPr>
        <w:rFonts w:hint="default"/>
      </w:rPr>
    </w:lvl>
    <w:lvl w:ilvl="3" w:tplc="1B98FF96">
      <w:numFmt w:val="bullet"/>
      <w:lvlText w:val="•"/>
      <w:lvlJc w:val="left"/>
      <w:pPr>
        <w:ind w:left="3319" w:hanging="359"/>
      </w:pPr>
      <w:rPr>
        <w:rFonts w:hint="default"/>
      </w:rPr>
    </w:lvl>
    <w:lvl w:ilvl="4" w:tplc="A538EED0">
      <w:numFmt w:val="bullet"/>
      <w:lvlText w:val="•"/>
      <w:lvlJc w:val="left"/>
      <w:pPr>
        <w:ind w:left="4226" w:hanging="359"/>
      </w:pPr>
      <w:rPr>
        <w:rFonts w:hint="default"/>
      </w:rPr>
    </w:lvl>
    <w:lvl w:ilvl="5" w:tplc="3BB4BF52">
      <w:numFmt w:val="bullet"/>
      <w:lvlText w:val="•"/>
      <w:lvlJc w:val="left"/>
      <w:pPr>
        <w:ind w:left="5133" w:hanging="359"/>
      </w:pPr>
      <w:rPr>
        <w:rFonts w:hint="default"/>
      </w:rPr>
    </w:lvl>
    <w:lvl w:ilvl="6" w:tplc="3992F4D6">
      <w:numFmt w:val="bullet"/>
      <w:lvlText w:val="•"/>
      <w:lvlJc w:val="left"/>
      <w:pPr>
        <w:ind w:left="6039" w:hanging="359"/>
      </w:pPr>
      <w:rPr>
        <w:rFonts w:hint="default"/>
      </w:rPr>
    </w:lvl>
    <w:lvl w:ilvl="7" w:tplc="7DEE8C12">
      <w:numFmt w:val="bullet"/>
      <w:lvlText w:val="•"/>
      <w:lvlJc w:val="left"/>
      <w:pPr>
        <w:ind w:left="6946" w:hanging="359"/>
      </w:pPr>
      <w:rPr>
        <w:rFonts w:hint="default"/>
      </w:rPr>
    </w:lvl>
    <w:lvl w:ilvl="8" w:tplc="F312896A">
      <w:numFmt w:val="bullet"/>
      <w:lvlText w:val="•"/>
      <w:lvlJc w:val="left"/>
      <w:pPr>
        <w:ind w:left="7853" w:hanging="359"/>
      </w:pPr>
      <w:rPr>
        <w:rFonts w:hint="default"/>
      </w:rPr>
    </w:lvl>
  </w:abstractNum>
  <w:abstractNum w:abstractNumId="12">
    <w:nsid w:val="6D0B0E23"/>
    <w:multiLevelType w:val="hybridMultilevel"/>
    <w:tmpl w:val="FFFFFFFF"/>
    <w:lvl w:ilvl="0" w:tplc="F7481F72">
      <w:start w:val="1"/>
      <w:numFmt w:val="decimal"/>
      <w:lvlText w:val="%1."/>
      <w:lvlJc w:val="left"/>
      <w:pPr>
        <w:ind w:left="593" w:hanging="361"/>
      </w:pPr>
      <w:rPr>
        <w:rFonts w:ascii="Times New Roman" w:eastAsia="Times New Roman" w:hAnsi="Times New Roman" w:cs="Times New Roman" w:hint="default"/>
        <w:spacing w:val="-30"/>
        <w:w w:val="99"/>
        <w:sz w:val="24"/>
        <w:szCs w:val="24"/>
      </w:rPr>
    </w:lvl>
    <w:lvl w:ilvl="1" w:tplc="CE702BFA">
      <w:numFmt w:val="bullet"/>
      <w:lvlText w:val="•"/>
      <w:lvlJc w:val="left"/>
      <w:pPr>
        <w:ind w:left="1506" w:hanging="361"/>
      </w:pPr>
      <w:rPr>
        <w:rFonts w:hint="default"/>
      </w:rPr>
    </w:lvl>
    <w:lvl w:ilvl="2" w:tplc="76B6B3C8">
      <w:numFmt w:val="bullet"/>
      <w:lvlText w:val="•"/>
      <w:lvlJc w:val="left"/>
      <w:pPr>
        <w:ind w:left="2413" w:hanging="361"/>
      </w:pPr>
      <w:rPr>
        <w:rFonts w:hint="default"/>
      </w:rPr>
    </w:lvl>
    <w:lvl w:ilvl="3" w:tplc="87F8D114">
      <w:numFmt w:val="bullet"/>
      <w:lvlText w:val="•"/>
      <w:lvlJc w:val="left"/>
      <w:pPr>
        <w:ind w:left="3319" w:hanging="361"/>
      </w:pPr>
      <w:rPr>
        <w:rFonts w:hint="default"/>
      </w:rPr>
    </w:lvl>
    <w:lvl w:ilvl="4" w:tplc="7C4AA678">
      <w:numFmt w:val="bullet"/>
      <w:lvlText w:val="•"/>
      <w:lvlJc w:val="left"/>
      <w:pPr>
        <w:ind w:left="4226" w:hanging="361"/>
      </w:pPr>
      <w:rPr>
        <w:rFonts w:hint="default"/>
      </w:rPr>
    </w:lvl>
    <w:lvl w:ilvl="5" w:tplc="C5C83208">
      <w:numFmt w:val="bullet"/>
      <w:lvlText w:val="•"/>
      <w:lvlJc w:val="left"/>
      <w:pPr>
        <w:ind w:left="5133" w:hanging="361"/>
      </w:pPr>
      <w:rPr>
        <w:rFonts w:hint="default"/>
      </w:rPr>
    </w:lvl>
    <w:lvl w:ilvl="6" w:tplc="EA52D95A">
      <w:numFmt w:val="bullet"/>
      <w:lvlText w:val="•"/>
      <w:lvlJc w:val="left"/>
      <w:pPr>
        <w:ind w:left="6039" w:hanging="361"/>
      </w:pPr>
      <w:rPr>
        <w:rFonts w:hint="default"/>
      </w:rPr>
    </w:lvl>
    <w:lvl w:ilvl="7" w:tplc="080ACAA4">
      <w:numFmt w:val="bullet"/>
      <w:lvlText w:val="•"/>
      <w:lvlJc w:val="left"/>
      <w:pPr>
        <w:ind w:left="6946" w:hanging="361"/>
      </w:pPr>
      <w:rPr>
        <w:rFonts w:hint="default"/>
      </w:rPr>
    </w:lvl>
    <w:lvl w:ilvl="8" w:tplc="6FF0D150">
      <w:numFmt w:val="bullet"/>
      <w:lvlText w:val="•"/>
      <w:lvlJc w:val="left"/>
      <w:pPr>
        <w:ind w:left="7853" w:hanging="361"/>
      </w:pPr>
      <w:rPr>
        <w:rFonts w:hint="default"/>
      </w:rPr>
    </w:lvl>
  </w:abstractNum>
  <w:abstractNum w:abstractNumId="13">
    <w:nsid w:val="711455B1"/>
    <w:multiLevelType w:val="hybridMultilevel"/>
    <w:tmpl w:val="FFFFFFFF"/>
    <w:lvl w:ilvl="0" w:tplc="5F4C5130">
      <w:start w:val="1"/>
      <w:numFmt w:val="decimal"/>
      <w:lvlText w:val="%1."/>
      <w:lvlJc w:val="left"/>
      <w:pPr>
        <w:ind w:left="593" w:hanging="361"/>
      </w:pPr>
      <w:rPr>
        <w:rFonts w:ascii="Times New Roman" w:eastAsia="Times New Roman" w:hAnsi="Times New Roman" w:cs="Times New Roman" w:hint="default"/>
        <w:spacing w:val="-18"/>
        <w:w w:val="99"/>
        <w:sz w:val="24"/>
        <w:szCs w:val="24"/>
      </w:rPr>
    </w:lvl>
    <w:lvl w:ilvl="1" w:tplc="1132FD18">
      <w:numFmt w:val="bullet"/>
      <w:lvlText w:val="•"/>
      <w:lvlJc w:val="left"/>
      <w:pPr>
        <w:ind w:left="1506" w:hanging="361"/>
      </w:pPr>
      <w:rPr>
        <w:rFonts w:hint="default"/>
      </w:rPr>
    </w:lvl>
    <w:lvl w:ilvl="2" w:tplc="0CEAA91C">
      <w:numFmt w:val="bullet"/>
      <w:lvlText w:val="•"/>
      <w:lvlJc w:val="left"/>
      <w:pPr>
        <w:ind w:left="2413" w:hanging="361"/>
      </w:pPr>
      <w:rPr>
        <w:rFonts w:hint="default"/>
      </w:rPr>
    </w:lvl>
    <w:lvl w:ilvl="3" w:tplc="3B86E560">
      <w:numFmt w:val="bullet"/>
      <w:lvlText w:val="•"/>
      <w:lvlJc w:val="left"/>
      <w:pPr>
        <w:ind w:left="3319" w:hanging="361"/>
      </w:pPr>
      <w:rPr>
        <w:rFonts w:hint="default"/>
      </w:rPr>
    </w:lvl>
    <w:lvl w:ilvl="4" w:tplc="178E03F0">
      <w:numFmt w:val="bullet"/>
      <w:lvlText w:val="•"/>
      <w:lvlJc w:val="left"/>
      <w:pPr>
        <w:ind w:left="4226" w:hanging="361"/>
      </w:pPr>
      <w:rPr>
        <w:rFonts w:hint="default"/>
      </w:rPr>
    </w:lvl>
    <w:lvl w:ilvl="5" w:tplc="87E62A56">
      <w:numFmt w:val="bullet"/>
      <w:lvlText w:val="•"/>
      <w:lvlJc w:val="left"/>
      <w:pPr>
        <w:ind w:left="5133" w:hanging="361"/>
      </w:pPr>
      <w:rPr>
        <w:rFonts w:hint="default"/>
      </w:rPr>
    </w:lvl>
    <w:lvl w:ilvl="6" w:tplc="7B562A2A">
      <w:numFmt w:val="bullet"/>
      <w:lvlText w:val="•"/>
      <w:lvlJc w:val="left"/>
      <w:pPr>
        <w:ind w:left="6039" w:hanging="361"/>
      </w:pPr>
      <w:rPr>
        <w:rFonts w:hint="default"/>
      </w:rPr>
    </w:lvl>
    <w:lvl w:ilvl="7" w:tplc="0D1EB25E">
      <w:numFmt w:val="bullet"/>
      <w:lvlText w:val="•"/>
      <w:lvlJc w:val="left"/>
      <w:pPr>
        <w:ind w:left="6946" w:hanging="361"/>
      </w:pPr>
      <w:rPr>
        <w:rFonts w:hint="default"/>
      </w:rPr>
    </w:lvl>
    <w:lvl w:ilvl="8" w:tplc="528A0C58">
      <w:numFmt w:val="bullet"/>
      <w:lvlText w:val="•"/>
      <w:lvlJc w:val="left"/>
      <w:pPr>
        <w:ind w:left="7853" w:hanging="361"/>
      </w:pPr>
      <w:rPr>
        <w:rFonts w:hint="default"/>
      </w:rPr>
    </w:lvl>
  </w:abstractNum>
  <w:num w:numId="1">
    <w:abstractNumId w:val="13"/>
  </w:num>
  <w:num w:numId="2">
    <w:abstractNumId w:val="12"/>
  </w:num>
  <w:num w:numId="3">
    <w:abstractNumId w:val="11"/>
  </w:num>
  <w:num w:numId="4">
    <w:abstractNumId w:val="3"/>
  </w:num>
  <w:num w:numId="5">
    <w:abstractNumId w:val="8"/>
  </w:num>
  <w:num w:numId="6">
    <w:abstractNumId w:val="10"/>
  </w:num>
  <w:num w:numId="7">
    <w:abstractNumId w:val="6"/>
  </w:num>
  <w:num w:numId="8">
    <w:abstractNumId w:val="5"/>
  </w:num>
  <w:num w:numId="9">
    <w:abstractNumId w:val="0"/>
  </w:num>
  <w:num w:numId="10">
    <w:abstractNumId w:val="1"/>
  </w:num>
  <w:num w:numId="11">
    <w:abstractNumId w:val="2"/>
  </w:num>
  <w:num w:numId="12">
    <w:abstractNumId w:val="4"/>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485C"/>
    <w:rsid w:val="0006104F"/>
    <w:rsid w:val="00065469"/>
    <w:rsid w:val="000A72B5"/>
    <w:rsid w:val="000B7DD7"/>
    <w:rsid w:val="00113A6C"/>
    <w:rsid w:val="00193CA9"/>
    <w:rsid w:val="001965D5"/>
    <w:rsid w:val="0025063F"/>
    <w:rsid w:val="0039245E"/>
    <w:rsid w:val="00392B4A"/>
    <w:rsid w:val="003A4D3A"/>
    <w:rsid w:val="004257BD"/>
    <w:rsid w:val="00467B61"/>
    <w:rsid w:val="00481FD8"/>
    <w:rsid w:val="004E1CE1"/>
    <w:rsid w:val="004F0F61"/>
    <w:rsid w:val="0058628F"/>
    <w:rsid w:val="005B36F8"/>
    <w:rsid w:val="005D701E"/>
    <w:rsid w:val="006061C1"/>
    <w:rsid w:val="0061408D"/>
    <w:rsid w:val="00624D4D"/>
    <w:rsid w:val="006566EA"/>
    <w:rsid w:val="006601E9"/>
    <w:rsid w:val="006E3B91"/>
    <w:rsid w:val="00711B92"/>
    <w:rsid w:val="00717701"/>
    <w:rsid w:val="007341B1"/>
    <w:rsid w:val="0076288C"/>
    <w:rsid w:val="0077411F"/>
    <w:rsid w:val="007B2E76"/>
    <w:rsid w:val="008322D6"/>
    <w:rsid w:val="00863F56"/>
    <w:rsid w:val="008748F4"/>
    <w:rsid w:val="009043F1"/>
    <w:rsid w:val="0092026C"/>
    <w:rsid w:val="00990AF1"/>
    <w:rsid w:val="009B71F7"/>
    <w:rsid w:val="009E4931"/>
    <w:rsid w:val="00A8625E"/>
    <w:rsid w:val="00AA0C34"/>
    <w:rsid w:val="00AB2285"/>
    <w:rsid w:val="00B06A92"/>
    <w:rsid w:val="00B24FF4"/>
    <w:rsid w:val="00B3372A"/>
    <w:rsid w:val="00B3737A"/>
    <w:rsid w:val="00B73203"/>
    <w:rsid w:val="00C31A96"/>
    <w:rsid w:val="00C331C8"/>
    <w:rsid w:val="00CC50F1"/>
    <w:rsid w:val="00DE045B"/>
    <w:rsid w:val="00E15164"/>
    <w:rsid w:val="00E56CE0"/>
    <w:rsid w:val="00EB3679"/>
    <w:rsid w:val="00EB485C"/>
    <w:rsid w:val="00EC663A"/>
    <w:rsid w:val="00EE09E3"/>
    <w:rsid w:val="00F5196E"/>
    <w:rsid w:val="00F91926"/>
    <w:rsid w:val="00FA5BE4"/>
    <w:rsid w:val="00FF12F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85C"/>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E15164"/>
    <w:pPr>
      <w:keepNext/>
      <w:numPr>
        <w:numId w:val="12"/>
      </w:numPr>
      <w:suppressAutoHyphens/>
      <w:autoSpaceDN/>
      <w:spacing w:line="278" w:lineRule="exact"/>
      <w:outlineLvl w:val="0"/>
    </w:pPr>
    <w:rPr>
      <w:rFonts w:ascii="Comic Sans MS" w:hAnsi="Comic Sans MS" w:cs="Comic Sans MS"/>
      <w:b/>
      <w:bCs/>
      <w:i/>
      <w:iCs/>
      <w:sz w:val="20"/>
      <w:szCs w:val="20"/>
      <w:u w:val="single"/>
      <w:lang w:eastAsia="ar-SA"/>
    </w:rPr>
  </w:style>
  <w:style w:type="paragraph" w:styleId="Heading3">
    <w:name w:val="heading 3"/>
    <w:basedOn w:val="Normal"/>
    <w:next w:val="Normal"/>
    <w:link w:val="Heading3Char"/>
    <w:uiPriority w:val="99"/>
    <w:qFormat/>
    <w:rsid w:val="00E15164"/>
    <w:pPr>
      <w:keepNext/>
      <w:numPr>
        <w:ilvl w:val="2"/>
        <w:numId w:val="12"/>
      </w:numPr>
      <w:suppressAutoHyphens/>
      <w:autoSpaceDN/>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9"/>
    <w:qFormat/>
    <w:rsid w:val="00E15164"/>
    <w:pPr>
      <w:keepNext/>
      <w:numPr>
        <w:ilvl w:val="4"/>
        <w:numId w:val="12"/>
      </w:numPr>
      <w:suppressAutoHyphens/>
      <w:autoSpaceDE/>
      <w:autoSpaceDN/>
      <w:outlineLvl w:val="4"/>
    </w:pPr>
    <w:rPr>
      <w:rFonts w:eastAsia="Calibri"/>
      <w:b/>
      <w:bCs/>
      <w:i/>
      <w:iCs/>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411F"/>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711B92"/>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711B92"/>
    <w:rPr>
      <w:rFonts w:ascii="Calibri" w:hAnsi="Calibri" w:cs="Times New Roman"/>
      <w:b/>
      <w:bCs/>
      <w:i/>
      <w:iCs/>
      <w:sz w:val="26"/>
      <w:szCs w:val="26"/>
    </w:rPr>
  </w:style>
  <w:style w:type="paragraph" w:styleId="BodyText">
    <w:name w:val="Body Text"/>
    <w:basedOn w:val="Normal"/>
    <w:link w:val="BodyTextChar"/>
    <w:uiPriority w:val="99"/>
    <w:rsid w:val="00EB485C"/>
    <w:pPr>
      <w:jc w:val="both"/>
    </w:pPr>
    <w:rPr>
      <w:sz w:val="24"/>
      <w:szCs w:val="24"/>
    </w:rPr>
  </w:style>
  <w:style w:type="character" w:customStyle="1" w:styleId="BodyTextChar">
    <w:name w:val="Body Text Char"/>
    <w:basedOn w:val="DefaultParagraphFont"/>
    <w:link w:val="BodyText"/>
    <w:uiPriority w:val="99"/>
    <w:semiHidden/>
    <w:locked/>
    <w:rsid w:val="0077411F"/>
    <w:rPr>
      <w:rFonts w:ascii="Times New Roman" w:hAnsi="Times New Roman" w:cs="Times New Roman"/>
    </w:rPr>
  </w:style>
  <w:style w:type="paragraph" w:styleId="ListParagraph">
    <w:name w:val="List Paragraph"/>
    <w:basedOn w:val="Normal"/>
    <w:uiPriority w:val="99"/>
    <w:qFormat/>
    <w:rsid w:val="00EB485C"/>
    <w:pPr>
      <w:spacing w:before="91"/>
      <w:ind w:left="232"/>
      <w:jc w:val="both"/>
    </w:pPr>
  </w:style>
  <w:style w:type="paragraph" w:customStyle="1" w:styleId="TableParagraph">
    <w:name w:val="Table Paragraph"/>
    <w:basedOn w:val="Normal"/>
    <w:uiPriority w:val="99"/>
    <w:rsid w:val="00EB485C"/>
  </w:style>
  <w:style w:type="paragraph" w:styleId="Header">
    <w:name w:val="header"/>
    <w:basedOn w:val="Normal"/>
    <w:link w:val="HeaderChar"/>
    <w:uiPriority w:val="99"/>
    <w:rsid w:val="00B24FF4"/>
    <w:pPr>
      <w:tabs>
        <w:tab w:val="center" w:pos="4819"/>
        <w:tab w:val="right" w:pos="9638"/>
      </w:tabs>
    </w:pPr>
  </w:style>
  <w:style w:type="character" w:customStyle="1" w:styleId="HeaderChar">
    <w:name w:val="Header Char"/>
    <w:basedOn w:val="DefaultParagraphFont"/>
    <w:link w:val="Header"/>
    <w:uiPriority w:val="99"/>
    <w:semiHidden/>
    <w:locked/>
    <w:rsid w:val="0077411F"/>
    <w:rPr>
      <w:rFonts w:ascii="Times New Roman" w:hAnsi="Times New Roman" w:cs="Times New Roman"/>
    </w:rPr>
  </w:style>
  <w:style w:type="paragraph" w:styleId="Footer">
    <w:name w:val="footer"/>
    <w:basedOn w:val="Normal"/>
    <w:link w:val="FooterChar"/>
    <w:uiPriority w:val="99"/>
    <w:rsid w:val="00B24FF4"/>
    <w:pPr>
      <w:tabs>
        <w:tab w:val="center" w:pos="4819"/>
        <w:tab w:val="right" w:pos="9638"/>
      </w:tabs>
    </w:pPr>
  </w:style>
  <w:style w:type="character" w:customStyle="1" w:styleId="FooterChar">
    <w:name w:val="Footer Char"/>
    <w:basedOn w:val="DefaultParagraphFont"/>
    <w:link w:val="Footer"/>
    <w:uiPriority w:val="99"/>
    <w:semiHidden/>
    <w:locked/>
    <w:rsid w:val="0077411F"/>
    <w:rPr>
      <w:rFonts w:ascii="Times New Roman" w:hAnsi="Times New Roman" w:cs="Times New Roman"/>
    </w:rPr>
  </w:style>
  <w:style w:type="character" w:styleId="Hyperlink">
    <w:name w:val="Hyperlink"/>
    <w:basedOn w:val="DefaultParagraphFont"/>
    <w:uiPriority w:val="99"/>
    <w:rsid w:val="00B24FF4"/>
    <w:rPr>
      <w:rFonts w:cs="Times New Roman"/>
      <w:color w:val="0000FF"/>
      <w:u w:val="single"/>
    </w:rPr>
  </w:style>
  <w:style w:type="paragraph" w:styleId="BodyText2">
    <w:name w:val="Body Text 2"/>
    <w:basedOn w:val="Normal"/>
    <w:link w:val="BodyText2Char"/>
    <w:uiPriority w:val="99"/>
    <w:rsid w:val="00E15164"/>
    <w:pPr>
      <w:suppressAutoHyphens/>
      <w:autoSpaceDE/>
      <w:autoSpaceDN/>
      <w:spacing w:after="120" w:line="480" w:lineRule="auto"/>
    </w:pPr>
    <w:rPr>
      <w:rFonts w:eastAsia="Calibri"/>
      <w:sz w:val="20"/>
      <w:szCs w:val="20"/>
      <w:lang w:eastAsia="ar-SA"/>
    </w:rPr>
  </w:style>
  <w:style w:type="character" w:customStyle="1" w:styleId="BodyText2Char">
    <w:name w:val="Body Text 2 Char"/>
    <w:basedOn w:val="DefaultParagraphFont"/>
    <w:link w:val="BodyText2"/>
    <w:uiPriority w:val="99"/>
    <w:semiHidden/>
    <w:locked/>
    <w:rsid w:val="00711B92"/>
    <w:rPr>
      <w:rFonts w:ascii="Times New Roman" w:hAnsi="Times New Roman" w:cs="Times New Roman"/>
    </w:rPr>
  </w:style>
  <w:style w:type="paragraph" w:styleId="NormalWeb">
    <w:name w:val="Normal (Web)"/>
    <w:basedOn w:val="Normal"/>
    <w:uiPriority w:val="99"/>
    <w:rsid w:val="00E15164"/>
    <w:pPr>
      <w:suppressAutoHyphens/>
      <w:autoSpaceDE/>
      <w:autoSpaceDN/>
      <w:spacing w:before="100" w:after="100"/>
    </w:pPr>
    <w:rPr>
      <w:rFonts w:eastAsia="Calibri"/>
      <w:sz w:val="24"/>
      <w:szCs w:val="24"/>
      <w:lang w:eastAsia="ar-SA"/>
    </w:rPr>
  </w:style>
  <w:style w:type="paragraph" w:styleId="BodyText3">
    <w:name w:val="Body Text 3"/>
    <w:basedOn w:val="Normal"/>
    <w:link w:val="BodyText3Char"/>
    <w:uiPriority w:val="99"/>
    <w:rsid w:val="00E15164"/>
    <w:pPr>
      <w:suppressAutoHyphens/>
      <w:autoSpaceDN/>
      <w:spacing w:after="120"/>
    </w:pPr>
    <w:rPr>
      <w:rFonts w:eastAsia="Calibri"/>
      <w:sz w:val="16"/>
      <w:szCs w:val="16"/>
      <w:lang w:eastAsia="ar-SA"/>
    </w:rPr>
  </w:style>
  <w:style w:type="character" w:customStyle="1" w:styleId="BodyText3Char">
    <w:name w:val="Body Text 3 Char"/>
    <w:basedOn w:val="DefaultParagraphFont"/>
    <w:link w:val="BodyText3"/>
    <w:uiPriority w:val="99"/>
    <w:semiHidden/>
    <w:locked/>
    <w:rsid w:val="00711B92"/>
    <w:rPr>
      <w:rFonts w:ascii="Times New Roman" w:hAnsi="Times New Roman" w:cs="Times New Roman"/>
      <w:sz w:val="16"/>
      <w:szCs w:val="16"/>
    </w:rPr>
  </w:style>
  <w:style w:type="paragraph" w:styleId="BalloonText">
    <w:name w:val="Balloon Text"/>
    <w:basedOn w:val="Normal"/>
    <w:link w:val="BalloonTextChar"/>
    <w:uiPriority w:val="99"/>
    <w:semiHidden/>
    <w:rsid w:val="00C331C8"/>
    <w:rPr>
      <w:rFonts w:ascii="Tahoma" w:hAnsi="Tahoma" w:cs="Tahoma"/>
      <w:sz w:val="16"/>
      <w:szCs w:val="16"/>
    </w:rPr>
  </w:style>
  <w:style w:type="character" w:customStyle="1" w:styleId="BalloonTextChar">
    <w:name w:val="Balloon Text Char"/>
    <w:basedOn w:val="DefaultParagraphFont"/>
    <w:link w:val="BalloonText"/>
    <w:uiPriority w:val="99"/>
    <w:semiHidden/>
    <w:rsid w:val="00593457"/>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settiegatti.eu/info/norme/statali/2016_00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312</TotalTime>
  <Pages>4</Pages>
  <Words>1614</Words>
  <Characters>9202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CAPITOLATO SPECIALE PER LA FORNITURA DI UN  AUTOCARRO E</dc:title>
  <dc:subject/>
  <dc:creator>Francesco Riente</dc:creator>
  <cp:keywords/>
  <dc:description/>
  <cp:lastModifiedBy>Utente</cp:lastModifiedBy>
  <cp:revision>20</cp:revision>
  <cp:lastPrinted>2018-11-07T08:41:00Z</cp:lastPrinted>
  <dcterms:created xsi:type="dcterms:W3CDTF">2018-10-25T09:52:00Z</dcterms:created>
  <dcterms:modified xsi:type="dcterms:W3CDTF">2018-11-07T08:41:00Z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