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A6" w:rsidRDefault="00704AA6" w:rsidP="00704AA6">
      <w:pPr>
        <w:autoSpaceDE w:val="0"/>
        <w:autoSpaceDN w:val="0"/>
        <w:adjustRightInd w:val="0"/>
        <w:spacing w:after="0" w:line="240" w:lineRule="auto"/>
        <w:ind w:left="5040"/>
        <w:jc w:val="both"/>
        <w:rPr>
          <w:rFonts w:ascii="Calibri" w:hAnsi="Calibri" w:cs="Calibri"/>
        </w:rPr>
      </w:pPr>
      <w:r>
        <w:rPr>
          <w:rFonts w:ascii="Calibri" w:hAnsi="Calibri" w:cs="Calibri"/>
          <w:noProof/>
          <w:lang w:eastAsia="it-IT"/>
        </w:rPr>
        <w:drawing>
          <wp:anchor distT="0" distB="0" distL="114300" distR="114300" simplePos="0" relativeHeight="251658240" behindDoc="0" locked="0" layoutInCell="1" allowOverlap="1">
            <wp:simplePos x="0" y="0"/>
            <wp:positionH relativeFrom="column">
              <wp:posOffset>-681990</wp:posOffset>
            </wp:positionH>
            <wp:positionV relativeFrom="paragraph">
              <wp:posOffset>-433070</wp:posOffset>
            </wp:positionV>
            <wp:extent cx="645160" cy="1619250"/>
            <wp:effectExtent l="19050" t="0" r="2540" b="0"/>
            <wp:wrapNone/>
            <wp:docPr id="3" name="Immagine 3" descr="Sc Grigio vert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Grigio vert positivo"/>
                    <pic:cNvPicPr>
                      <a:picLocks noChangeAspect="1" noChangeArrowheads="1"/>
                    </pic:cNvPicPr>
                  </pic:nvPicPr>
                  <pic:blipFill>
                    <a:blip r:embed="rId6" cstate="print"/>
                    <a:srcRect/>
                    <a:stretch>
                      <a:fillRect/>
                    </a:stretch>
                  </pic:blipFill>
                  <pic:spPr bwMode="auto">
                    <a:xfrm>
                      <a:off x="0" y="0"/>
                      <a:ext cx="645160" cy="1619250"/>
                    </a:xfrm>
                    <a:prstGeom prst="rect">
                      <a:avLst/>
                    </a:prstGeom>
                    <a:noFill/>
                  </pic:spPr>
                </pic:pic>
              </a:graphicData>
            </a:graphic>
          </wp:anchor>
        </w:drawing>
      </w:r>
    </w:p>
    <w:p w:rsidR="00704AA6" w:rsidRDefault="00704AA6" w:rsidP="00704AA6">
      <w:pPr>
        <w:autoSpaceDE w:val="0"/>
        <w:autoSpaceDN w:val="0"/>
        <w:adjustRightInd w:val="0"/>
        <w:spacing w:after="0" w:line="240" w:lineRule="auto"/>
        <w:rPr>
          <w:rFonts w:ascii="Arial" w:hAnsi="Arial" w:cs="Arial"/>
          <w:b/>
          <w:bCs/>
        </w:rPr>
      </w:pPr>
    </w:p>
    <w:p w:rsidR="00704AA6" w:rsidRDefault="00704AA6" w:rsidP="00704AA6">
      <w:pPr>
        <w:autoSpaceDE w:val="0"/>
        <w:autoSpaceDN w:val="0"/>
        <w:adjustRightInd w:val="0"/>
        <w:spacing w:after="0" w:line="240" w:lineRule="auto"/>
        <w:rPr>
          <w:rFonts w:ascii="Arial" w:hAnsi="Arial" w:cs="Arial"/>
          <w:b/>
          <w:bCs/>
        </w:rPr>
      </w:pPr>
    </w:p>
    <w:p w:rsidR="00704AA6" w:rsidRDefault="00704AA6" w:rsidP="00704AA6">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704AA6" w:rsidRDefault="00704AA6" w:rsidP="001D60EB">
      <w:pPr>
        <w:autoSpaceDE w:val="0"/>
        <w:autoSpaceDN w:val="0"/>
        <w:adjustRightInd w:val="0"/>
        <w:spacing w:after="0" w:line="240" w:lineRule="auto"/>
        <w:jc w:val="both"/>
        <w:rPr>
          <w:rFonts w:ascii="Calibri" w:hAnsi="Calibri" w:cs="Calibri"/>
        </w:rPr>
      </w:pPr>
    </w:p>
    <w:p w:rsidR="00071F79" w:rsidRPr="0096654F" w:rsidRDefault="00071F79" w:rsidP="001D60EB">
      <w:pPr>
        <w:rPr>
          <w:rFonts w:ascii="Arial" w:hAnsi="Arial" w:cs="Arial"/>
          <w:b/>
          <w:bCs/>
        </w:rPr>
      </w:pPr>
      <w:r w:rsidRPr="0096654F">
        <w:rPr>
          <w:rFonts w:ascii="Arial" w:hAnsi="Arial" w:cs="Arial"/>
          <w:b/>
          <w:bCs/>
        </w:rPr>
        <w:t xml:space="preserve">PER L'AFFIDAMENTO DEL SERVIZIO </w:t>
      </w:r>
      <w:proofErr w:type="spellStart"/>
      <w:r w:rsidRPr="0096654F">
        <w:rPr>
          <w:rFonts w:ascii="Arial" w:hAnsi="Arial" w:cs="Arial"/>
          <w:b/>
          <w:bCs/>
        </w:rPr>
        <w:t>DI</w:t>
      </w:r>
      <w:proofErr w:type="spellEnd"/>
      <w:r w:rsidRPr="0096654F">
        <w:rPr>
          <w:rFonts w:ascii="Arial" w:hAnsi="Arial" w:cs="Arial"/>
          <w:b/>
          <w:bCs/>
        </w:rPr>
        <w:t xml:space="preserve"> VERIFICA (ai sensi dell'art.26 </w:t>
      </w:r>
      <w:proofErr w:type="spellStart"/>
      <w:r w:rsidRPr="0096654F">
        <w:rPr>
          <w:rFonts w:ascii="Arial" w:hAnsi="Arial" w:cs="Arial"/>
          <w:b/>
          <w:bCs/>
        </w:rPr>
        <w:t>D.Lgs.n</w:t>
      </w:r>
      <w:proofErr w:type="spellEnd"/>
      <w:r w:rsidRPr="0096654F">
        <w:rPr>
          <w:rFonts w:ascii="Arial" w:hAnsi="Arial" w:cs="Arial"/>
          <w:b/>
          <w:bCs/>
        </w:rPr>
        <w:t xml:space="preserve">.50/2016), FINALIZZATO ALLA VALIDAZIONE </w:t>
      </w:r>
      <w:r w:rsidRPr="0096654F">
        <w:rPr>
          <w:rFonts w:ascii="Arial" w:hAnsi="Arial" w:cs="Arial"/>
          <w:b/>
          <w:bCs/>
          <w:caps/>
        </w:rPr>
        <w:t>DELLA</w:t>
      </w:r>
      <w:r w:rsidRPr="0096654F">
        <w:rPr>
          <w:rFonts w:ascii="Arial" w:hAnsi="Arial" w:cs="Arial"/>
          <w:b/>
          <w:bCs/>
        </w:rPr>
        <w:t xml:space="preserve"> PROGETTAZIONE ESECUTIVA </w:t>
      </w:r>
      <w:r w:rsidR="0096654F">
        <w:rPr>
          <w:rFonts w:ascii="Arial" w:hAnsi="Arial" w:cs="Arial"/>
          <w:b/>
          <w:bCs/>
        </w:rPr>
        <w:t>DEI LAVORI DÌ RIQUALIFICAZIONE ILLUMINOTECNICA DEGLI IMPIANTI DÌ PUBBLICA ILLUMINAZIONE DEL COMUNE DÌ CORTONA</w:t>
      </w:r>
    </w:p>
    <w:p w:rsidR="00071F79" w:rsidRDefault="00071F79" w:rsidP="00D5300B">
      <w:pPr>
        <w:jc w:val="both"/>
        <w:rPr>
          <w:rFonts w:ascii="Calibri" w:hAnsi="Calibri" w:cs="Calibri"/>
          <w:lang/>
        </w:rPr>
      </w:pP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di Cortona</w:t>
      </w:r>
      <w:r w:rsidR="00D5300B">
        <w:rPr>
          <w:rFonts w:ascii="Arial" w:hAnsi="Arial" w:cs="Arial"/>
          <w:color w:val="000000"/>
          <w:lang/>
        </w:rPr>
        <w:t xml:space="preserve">, ricordando che ha aderito alla Convenzione </w:t>
      </w:r>
      <w:proofErr w:type="spellStart"/>
      <w:r w:rsidR="00D5300B">
        <w:rPr>
          <w:rFonts w:ascii="Arial" w:hAnsi="Arial" w:cs="Arial"/>
          <w:color w:val="000000"/>
          <w:lang/>
        </w:rPr>
        <w:t>Consip</w:t>
      </w:r>
      <w:proofErr w:type="spellEnd"/>
      <w:r w:rsidR="00D5300B">
        <w:rPr>
          <w:rFonts w:ascii="Arial" w:hAnsi="Arial" w:cs="Arial"/>
          <w:color w:val="000000"/>
          <w:lang/>
        </w:rPr>
        <w:t xml:space="preserve"> per l’affidamento del Servizio Luce e dei servizi connessi per le pubbliche amministrazioni, </w:t>
      </w:r>
      <w:r>
        <w:rPr>
          <w:rFonts w:ascii="Arial" w:hAnsi="Arial" w:cs="Arial"/>
          <w:color w:val="000000"/>
          <w:lang/>
        </w:rPr>
        <w:t xml:space="preserve">intende effettuare una ricerca propedeutica all’avvio della procedura negoziata ai sensi dell’art. 36, comma 2, lett. b) in combinato disposto con il comma 2 dell’art. 157 del </w:t>
      </w:r>
      <w:proofErr w:type="spellStart"/>
      <w:r>
        <w:rPr>
          <w:rFonts w:ascii="Arial" w:hAnsi="Arial" w:cs="Arial"/>
          <w:color w:val="000000"/>
          <w:lang/>
        </w:rPr>
        <w:t>D.Lgs</w:t>
      </w:r>
      <w:proofErr w:type="spellEnd"/>
      <w:r>
        <w:rPr>
          <w:rFonts w:ascii="Arial" w:hAnsi="Arial" w:cs="Arial"/>
          <w:color w:val="000000"/>
          <w:lang/>
        </w:rPr>
        <w:t xml:space="preserve"> 50/2016 (in seguito anche Codice), avendo presente che, ai sensi delle Linee Guida ANAC n. 1 di attuazione del D,</w:t>
      </w:r>
      <w:proofErr w:type="spellStart"/>
      <w:r>
        <w:rPr>
          <w:rFonts w:ascii="Arial" w:hAnsi="Arial" w:cs="Arial"/>
          <w:color w:val="000000"/>
          <w:lang/>
        </w:rPr>
        <w:t>Lgs</w:t>
      </w:r>
      <w:proofErr w:type="spellEnd"/>
      <w:r>
        <w:rPr>
          <w:rFonts w:ascii="Arial" w:hAnsi="Arial" w:cs="Arial"/>
          <w:color w:val="000000"/>
          <w:lang/>
        </w:rPr>
        <w:t xml:space="preserve"> n.50/2016 recanti “</w:t>
      </w:r>
      <w:r>
        <w:rPr>
          <w:rFonts w:ascii="Arial" w:hAnsi="Arial" w:cs="Arial"/>
          <w:i/>
          <w:iCs/>
          <w:color w:val="000000"/>
          <w:lang/>
        </w:rPr>
        <w:t>Indirizzi generali sull’affidamento dei servizi attinenti all’architettura e all’ingegneria</w:t>
      </w:r>
      <w:r>
        <w:rPr>
          <w:rFonts w:ascii="Arial" w:hAnsi="Arial" w:cs="Arial"/>
          <w:color w:val="000000"/>
          <w:lang/>
        </w:rPr>
        <w:t>”, approvate dal Consiglio dell’Autorità con Delibera n. 973 del 14 settembre 2016, alle procedure di affidamento dei servizi di verifica dei progetti, si applicano le regole previste per l’affidamento dei servizi di ingegneria e architettura (paragrafo VII, punto 2.2 di dette Linee Guida), nel rispetto dei principi di non discriminazione, parità di trattamento, proporzionalità e trasparenza.</w:t>
      </w:r>
    </w:p>
    <w:p w:rsidR="00071F79" w:rsidRDefault="00071F79" w:rsidP="001D60EB">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Considerato che l’importo dei lavori da formare oggetto di verifica progettuale risulta di entità pari o superiore a quanto indicato al comma 6, lettera “C” dell’art. 26 del </w:t>
      </w:r>
      <w:proofErr w:type="spellStart"/>
      <w:r>
        <w:rPr>
          <w:rFonts w:ascii="Arial" w:hAnsi="Arial" w:cs="Arial"/>
          <w:color w:val="000000"/>
          <w:lang/>
        </w:rPr>
        <w:t>D.Lgs</w:t>
      </w:r>
      <w:proofErr w:type="spellEnd"/>
      <w:r>
        <w:rPr>
          <w:rFonts w:ascii="Arial" w:hAnsi="Arial" w:cs="Arial"/>
          <w:color w:val="000000"/>
          <w:lang/>
        </w:rPr>
        <w:t xml:space="preserve"> 50/2016.</w:t>
      </w:r>
    </w:p>
    <w:p w:rsidR="00071F79" w:rsidRDefault="00071F79" w:rsidP="001D60EB">
      <w:pPr>
        <w:spacing w:line="240" w:lineRule="auto"/>
        <w:jc w:val="both"/>
        <w:rPr>
          <w:rFonts w:ascii="Arial" w:hAnsi="Arial" w:cs="Arial"/>
          <w:color w:val="000000"/>
          <w:lang/>
        </w:rPr>
      </w:pPr>
      <w:r>
        <w:rPr>
          <w:rFonts w:ascii="Arial" w:hAnsi="Arial" w:cs="Arial"/>
          <w:color w:val="000000"/>
          <w:lang/>
        </w:rPr>
        <w:t>Accertata la carenza in organico di una unità tecnica con un sistema   interno   di   controllo della qualità, conforme alla  UNI  EN  ISO  9001  certificato  da  Organismi   accreditati   ai   sensi   del   Regolamento CE n. 765/2008 e richiamato lo stesso art. 26, comma 6, lettera “C” del Codice, che prescrive, in assenza dei decreti attuativi previsti al comma 3 dell’art. 22 del Codice, l’applicazione dell’art. 216, comma 4, dello stesso Codice, il Comune  intende procedere all’affidamento delle attività di verifica della progettazione esecutiva relativa ai lavori denominati “</w:t>
      </w:r>
      <w:r w:rsidR="001D60EB">
        <w:rPr>
          <w:rFonts w:ascii="Arial" w:hAnsi="Arial" w:cs="Arial"/>
          <w:b/>
          <w:bCs/>
        </w:rPr>
        <w:t>RIQUALIFICAZIONE ILLUMINOTECNICA DEGLI IMPIANTI DÌ PUBBLICA ILLUMINAZIONE DEL COMUNE DÌ CORTONA</w:t>
      </w:r>
      <w:r>
        <w:rPr>
          <w:rFonts w:ascii="Arial" w:hAnsi="Arial" w:cs="Arial"/>
          <w:color w:val="000000"/>
          <w:lang/>
        </w:rPr>
        <w:t>”,</w:t>
      </w:r>
      <w:r w:rsidR="00D5300B">
        <w:rPr>
          <w:rFonts w:ascii="Arial" w:hAnsi="Arial" w:cs="Arial"/>
          <w:color w:val="000000"/>
          <w:lang/>
        </w:rPr>
        <w:t xml:space="preserve"> presentato dalla Società CITELUM, ditta affidataria con convenzione </w:t>
      </w:r>
      <w:proofErr w:type="spellStart"/>
      <w:r w:rsidR="00D5300B">
        <w:rPr>
          <w:rFonts w:ascii="Arial" w:hAnsi="Arial" w:cs="Arial"/>
          <w:color w:val="000000"/>
          <w:lang/>
        </w:rPr>
        <w:t>Consip</w:t>
      </w:r>
      <w:proofErr w:type="spellEnd"/>
      <w:r w:rsidR="00D5300B">
        <w:rPr>
          <w:rFonts w:ascii="Arial" w:hAnsi="Arial" w:cs="Arial"/>
          <w:color w:val="000000"/>
          <w:lang/>
        </w:rPr>
        <w:t>,</w:t>
      </w:r>
      <w:r>
        <w:rPr>
          <w:rFonts w:ascii="Arial" w:hAnsi="Arial" w:cs="Arial"/>
          <w:color w:val="000000"/>
          <w:lang/>
        </w:rPr>
        <w:t xml:space="preserve"> mediante procedura negoziata previa consultazione di almeno cinque operatori economici (qualora esistano in tal numero aspiranti idonei) individuati sulla base delle condizioni di accesso alla procedura medesima come appresso indicate.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pubblico è pertanto finalizzato esclusivamente a ricevere manifestazioni di interesse per favorire la partecipazione e la consultazione del maggior numero di professionisti qualificati a svolgere il servizio di verifica progettuale, in modo non vincolante per il Comune di Cortona.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e la successiva ricezione delle manifestazioni di interesse non vincolano in alcun modo il Comune.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si riserva di procedere in qualsiasi momento ad una verifica d’ufficio (a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campione) di quanto dichiarato nella domanda e negli allegati.</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 – Tipologia del servizio richiesto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L’incarico avrà ad oggetto le attività di verifica della progettazione esecutiva da espletarsi ai sensi dell’art. 26 del Codice e per analogia ed in mancanza di decreti attuativi del Codice, degli articoli </w:t>
      </w:r>
      <w:r>
        <w:rPr>
          <w:rFonts w:ascii="Arial" w:hAnsi="Arial" w:cs="Arial"/>
          <w:color w:val="000000"/>
          <w:lang/>
        </w:rPr>
        <w:lastRenderedPageBreak/>
        <w:t xml:space="preserve">abrogati della </w:t>
      </w:r>
      <w:r>
        <w:rPr>
          <w:rFonts w:ascii="Arial" w:hAnsi="Arial" w:cs="Arial"/>
          <w:b/>
          <w:bCs/>
          <w:color w:val="000000"/>
          <w:lang/>
        </w:rPr>
        <w:t xml:space="preserve">Parte II, Titolo II, Capo II, </w:t>
      </w:r>
      <w:r>
        <w:rPr>
          <w:rFonts w:ascii="Arial" w:hAnsi="Arial" w:cs="Arial"/>
          <w:color w:val="000000"/>
          <w:lang/>
        </w:rPr>
        <w:t>del Regolamento di cui di cui al DPR 207/2010 attinenti la verifica del progetto.</w:t>
      </w:r>
    </w:p>
    <w:p w:rsidR="00071F79" w:rsidRDefault="00071F79" w:rsidP="001D60EB">
      <w:pPr>
        <w:spacing w:line="240" w:lineRule="auto"/>
        <w:jc w:val="both"/>
        <w:rPr>
          <w:rFonts w:ascii="Arial" w:hAnsi="Arial" w:cs="Arial"/>
          <w:color w:val="000000"/>
          <w:lang/>
        </w:rPr>
      </w:pPr>
      <w:r>
        <w:rPr>
          <w:rFonts w:ascii="Arial" w:hAnsi="Arial" w:cs="Arial"/>
          <w:color w:val="000000"/>
          <w:lang/>
        </w:rPr>
        <w:t xml:space="preserve">L’attività di verifica riguarderà la progettazione esecutiva </w:t>
      </w:r>
      <w:r>
        <w:rPr>
          <w:rFonts w:ascii="Arial" w:hAnsi="Arial" w:cs="Arial"/>
          <w:b/>
          <w:bCs/>
          <w:color w:val="000000"/>
          <w:lang/>
        </w:rPr>
        <w:t xml:space="preserve"> </w:t>
      </w:r>
      <w:r>
        <w:rPr>
          <w:rFonts w:ascii="Arial" w:hAnsi="Arial" w:cs="Arial"/>
          <w:color w:val="000000"/>
          <w:lang/>
        </w:rPr>
        <w:t xml:space="preserve">di </w:t>
      </w:r>
      <w:r w:rsidR="001D60EB">
        <w:rPr>
          <w:rFonts w:ascii="Arial" w:hAnsi="Arial" w:cs="Arial"/>
          <w:b/>
          <w:bCs/>
        </w:rPr>
        <w:t>RIQUALIFICAZIONE ILLUMINOTECNICA DEGLI IMPIANTI DÌ PUBBLICA ILLUMINAZIONE DEL COMUNE DÌ CORTONA</w:t>
      </w:r>
      <w:r w:rsidR="001D60EB" w:rsidRPr="0096654F">
        <w:rPr>
          <w:rFonts w:ascii="Arial" w:hAnsi="Arial" w:cs="Arial"/>
          <w:b/>
          <w:bCs/>
        </w:rPr>
        <w:t xml:space="preserve"> </w:t>
      </w:r>
      <w:r>
        <w:rPr>
          <w:rFonts w:ascii="Arial" w:hAnsi="Arial" w:cs="Arial"/>
          <w:color w:val="000000"/>
          <w:lang/>
        </w:rPr>
        <w:t>e sarà propedeutica alla validazione ad opera del RUP ed all’approvazione del progetto esecutivo  da parte della Stazione Appaltante.</w:t>
      </w:r>
    </w:p>
    <w:p w:rsidR="001D60EB" w:rsidRDefault="001D60EB" w:rsidP="001D60EB">
      <w:pPr>
        <w:spacing w:line="240" w:lineRule="auto"/>
        <w:jc w:val="both"/>
        <w:rPr>
          <w:rFonts w:ascii="Arial" w:hAnsi="Arial" w:cs="Arial"/>
          <w:color w:val="000000"/>
          <w:lang/>
        </w:rPr>
      </w:pPr>
      <w:r>
        <w:rPr>
          <w:rFonts w:ascii="Arial" w:hAnsi="Arial" w:cs="Arial"/>
          <w:color w:val="000000"/>
          <w:lang/>
        </w:rPr>
        <w:t xml:space="preserve">In particolare la verifica dovrà accertare: </w:t>
      </w:r>
    </w:p>
    <w:p w:rsidR="001D60EB" w:rsidRDefault="001D60EB" w:rsidP="001D60EB">
      <w:pPr>
        <w:pStyle w:val="Paragrafoelenco"/>
        <w:numPr>
          <w:ilvl w:val="0"/>
          <w:numId w:val="4"/>
        </w:numPr>
        <w:spacing w:line="240" w:lineRule="auto"/>
        <w:jc w:val="both"/>
        <w:rPr>
          <w:rFonts w:ascii="Arial" w:hAnsi="Arial" w:cs="Arial"/>
          <w:color w:val="000000"/>
          <w:lang/>
        </w:rPr>
      </w:pPr>
      <w:r>
        <w:rPr>
          <w:rFonts w:ascii="Arial" w:hAnsi="Arial" w:cs="Arial"/>
          <w:color w:val="000000"/>
          <w:lang/>
        </w:rPr>
        <w:t>La completezza della progettazione</w:t>
      </w:r>
    </w:p>
    <w:p w:rsidR="001D60EB" w:rsidRDefault="001D60EB" w:rsidP="001D60EB">
      <w:pPr>
        <w:pStyle w:val="Paragrafoelenco"/>
        <w:numPr>
          <w:ilvl w:val="0"/>
          <w:numId w:val="4"/>
        </w:numPr>
        <w:spacing w:line="240" w:lineRule="auto"/>
        <w:jc w:val="both"/>
        <w:rPr>
          <w:rFonts w:ascii="Arial" w:hAnsi="Arial" w:cs="Arial"/>
          <w:color w:val="000000"/>
          <w:lang/>
        </w:rPr>
      </w:pPr>
      <w:r>
        <w:rPr>
          <w:rFonts w:ascii="Arial" w:hAnsi="Arial" w:cs="Arial"/>
          <w:color w:val="000000"/>
          <w:lang/>
        </w:rPr>
        <w:t>La coerenza e completezza del quadro economico in tutti i suoi aspetti</w:t>
      </w:r>
    </w:p>
    <w:p w:rsidR="001D60EB" w:rsidRDefault="001D60EB" w:rsidP="001D60EB">
      <w:pPr>
        <w:pStyle w:val="Paragrafoelenco"/>
        <w:numPr>
          <w:ilvl w:val="0"/>
          <w:numId w:val="4"/>
        </w:numPr>
        <w:spacing w:line="240" w:lineRule="auto"/>
        <w:jc w:val="both"/>
        <w:rPr>
          <w:rFonts w:ascii="Arial" w:hAnsi="Arial" w:cs="Arial"/>
          <w:color w:val="000000"/>
          <w:lang/>
        </w:rPr>
      </w:pPr>
      <w:r>
        <w:rPr>
          <w:rFonts w:ascii="Arial" w:hAnsi="Arial" w:cs="Arial"/>
          <w:color w:val="000000"/>
          <w:lang/>
        </w:rPr>
        <w:t>Presupposti per la durata dell’opera nel tempo</w:t>
      </w:r>
    </w:p>
    <w:p w:rsidR="001D60EB" w:rsidRDefault="001D60EB" w:rsidP="001D60EB">
      <w:pPr>
        <w:pStyle w:val="Paragrafoelenco"/>
        <w:numPr>
          <w:ilvl w:val="0"/>
          <w:numId w:val="4"/>
        </w:numPr>
        <w:spacing w:line="240" w:lineRule="auto"/>
        <w:jc w:val="both"/>
        <w:rPr>
          <w:rFonts w:ascii="Arial" w:hAnsi="Arial" w:cs="Arial"/>
          <w:color w:val="000000"/>
          <w:lang/>
        </w:rPr>
      </w:pPr>
      <w:r>
        <w:rPr>
          <w:rFonts w:ascii="Arial" w:hAnsi="Arial" w:cs="Arial"/>
          <w:color w:val="000000"/>
          <w:lang/>
        </w:rPr>
        <w:t>La minimizzazione dei rischi di introduzione di varianti e di contenzioso</w:t>
      </w:r>
    </w:p>
    <w:p w:rsidR="001D60EB" w:rsidRDefault="001D60EB" w:rsidP="001D60EB">
      <w:pPr>
        <w:pStyle w:val="Paragrafoelenco"/>
        <w:numPr>
          <w:ilvl w:val="0"/>
          <w:numId w:val="4"/>
        </w:numPr>
        <w:spacing w:line="240" w:lineRule="auto"/>
        <w:jc w:val="both"/>
        <w:rPr>
          <w:rFonts w:ascii="Arial" w:hAnsi="Arial" w:cs="Arial"/>
          <w:color w:val="000000"/>
          <w:lang/>
        </w:rPr>
      </w:pPr>
      <w:r>
        <w:rPr>
          <w:rFonts w:ascii="Arial" w:hAnsi="Arial" w:cs="Arial"/>
          <w:color w:val="000000"/>
          <w:lang/>
        </w:rPr>
        <w:t>La possibilità di ultimazione dell’opera entro i termini previsti</w:t>
      </w:r>
    </w:p>
    <w:p w:rsidR="001D60EB" w:rsidRDefault="001D60EB" w:rsidP="001D60EB">
      <w:pPr>
        <w:pStyle w:val="Paragrafoelenco"/>
        <w:numPr>
          <w:ilvl w:val="0"/>
          <w:numId w:val="4"/>
        </w:numPr>
        <w:spacing w:line="240" w:lineRule="auto"/>
        <w:jc w:val="both"/>
        <w:rPr>
          <w:rFonts w:ascii="Arial" w:hAnsi="Arial" w:cs="Arial"/>
          <w:color w:val="000000"/>
          <w:lang/>
        </w:rPr>
      </w:pPr>
      <w:r>
        <w:rPr>
          <w:rFonts w:ascii="Arial" w:hAnsi="Arial" w:cs="Arial"/>
          <w:color w:val="000000"/>
          <w:lang/>
        </w:rPr>
        <w:t>La sicurezza delle maestranze e degli utilizzatori</w:t>
      </w:r>
    </w:p>
    <w:p w:rsidR="001D60EB" w:rsidRDefault="00D5300B" w:rsidP="001D60EB">
      <w:pPr>
        <w:pStyle w:val="Paragrafoelenco"/>
        <w:numPr>
          <w:ilvl w:val="0"/>
          <w:numId w:val="4"/>
        </w:numPr>
        <w:spacing w:line="240" w:lineRule="auto"/>
        <w:jc w:val="both"/>
        <w:rPr>
          <w:rFonts w:ascii="Arial" w:hAnsi="Arial" w:cs="Arial"/>
          <w:color w:val="000000"/>
          <w:lang/>
        </w:rPr>
      </w:pPr>
      <w:r>
        <w:rPr>
          <w:rFonts w:ascii="Arial" w:hAnsi="Arial" w:cs="Arial"/>
          <w:color w:val="000000"/>
          <w:lang/>
        </w:rPr>
        <w:t xml:space="preserve">L’adeguatezza dei prezzi unitari utilizzati in relazione ai prezzi </w:t>
      </w:r>
      <w:proofErr w:type="spellStart"/>
      <w:r>
        <w:rPr>
          <w:rFonts w:ascii="Arial" w:hAnsi="Arial" w:cs="Arial"/>
          <w:color w:val="000000"/>
          <w:lang/>
        </w:rPr>
        <w:t>Consip</w:t>
      </w:r>
      <w:proofErr w:type="spellEnd"/>
    </w:p>
    <w:p w:rsidR="00D5300B" w:rsidRDefault="00D5300B" w:rsidP="001D60EB">
      <w:pPr>
        <w:pStyle w:val="Paragrafoelenco"/>
        <w:numPr>
          <w:ilvl w:val="0"/>
          <w:numId w:val="4"/>
        </w:numPr>
        <w:spacing w:line="240" w:lineRule="auto"/>
        <w:jc w:val="both"/>
        <w:rPr>
          <w:rFonts w:ascii="Arial" w:hAnsi="Arial" w:cs="Arial"/>
          <w:color w:val="000000"/>
          <w:lang/>
        </w:rPr>
      </w:pPr>
      <w:r>
        <w:rPr>
          <w:rFonts w:ascii="Arial" w:hAnsi="Arial" w:cs="Arial"/>
          <w:color w:val="000000"/>
          <w:lang/>
        </w:rPr>
        <w:t>Il mantenimento delle opere</w:t>
      </w:r>
    </w:p>
    <w:p w:rsidR="00D5300B" w:rsidRPr="001D60EB" w:rsidRDefault="00D5300B" w:rsidP="001D60EB">
      <w:pPr>
        <w:pStyle w:val="Paragrafoelenco"/>
        <w:numPr>
          <w:ilvl w:val="0"/>
          <w:numId w:val="4"/>
        </w:numPr>
        <w:spacing w:line="240" w:lineRule="auto"/>
        <w:jc w:val="both"/>
        <w:rPr>
          <w:rFonts w:ascii="Arial" w:hAnsi="Arial" w:cs="Arial"/>
          <w:color w:val="000000"/>
          <w:lang/>
        </w:rPr>
      </w:pPr>
      <w:r>
        <w:rPr>
          <w:rFonts w:ascii="Arial" w:hAnsi="Arial" w:cs="Arial"/>
          <w:color w:val="000000"/>
          <w:lang/>
        </w:rPr>
        <w:t xml:space="preserve">Supporto al Supervisore per la parte tecnica, attraverso la produzione di una relazione tecnica valutativa del documento proposto dal Fornitore </w:t>
      </w:r>
      <w:proofErr w:type="spellStart"/>
      <w:r>
        <w:rPr>
          <w:rFonts w:ascii="Arial" w:hAnsi="Arial" w:cs="Arial"/>
          <w:color w:val="000000"/>
          <w:lang/>
        </w:rPr>
        <w:t>Citelum</w:t>
      </w:r>
      <w:proofErr w:type="spellEnd"/>
      <w:r>
        <w:rPr>
          <w:rFonts w:ascii="Arial" w:hAnsi="Arial" w:cs="Arial"/>
          <w:color w:val="000000"/>
          <w:lang/>
        </w:rPr>
        <w:t>, di un parere tecnico economico sugli Ordini di intervento, ed inoltre, e nel monitoraggio e controllo della corretta e puntuale esecuzione dei servizi richiesti e di tutte le componenti tecniche connesse all’appalto</w:t>
      </w:r>
    </w:p>
    <w:p w:rsidR="00071F79" w:rsidRDefault="00071F79" w:rsidP="00071F79">
      <w:pPr>
        <w:autoSpaceDE w:val="0"/>
        <w:autoSpaceDN w:val="0"/>
        <w:adjustRightInd w:val="0"/>
        <w:spacing w:after="0" w:line="240" w:lineRule="auto"/>
        <w:jc w:val="both"/>
        <w:rPr>
          <w:rFonts w:ascii="Calibri" w:hAnsi="Calibri" w:cs="Calibri"/>
          <w:lang/>
        </w:rPr>
      </w:pP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2 – Importo a base della procedura negoziata e durata del servizio di verifica progettuale</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Importo del servizio di verifica progettuale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L’importo, che </w:t>
      </w:r>
      <w:r w:rsidR="001D60EB">
        <w:rPr>
          <w:rFonts w:ascii="Arial" w:hAnsi="Arial" w:cs="Arial"/>
          <w:color w:val="000000"/>
          <w:lang/>
        </w:rPr>
        <w:t>dovrà essere offerto</w:t>
      </w:r>
      <w:r>
        <w:rPr>
          <w:rFonts w:ascii="Arial" w:hAnsi="Arial" w:cs="Arial"/>
          <w:color w:val="000000"/>
          <w:lang/>
        </w:rPr>
        <w:t xml:space="preserve"> in sede di procedura negoziata attivata mediante lettera di invito, per lo svolgimento delle attività di verifica progettuale di cui </w:t>
      </w:r>
      <w:r>
        <w:rPr>
          <w:rFonts w:ascii="Arial" w:hAnsi="Arial" w:cs="Arial"/>
          <w:b/>
          <w:bCs/>
          <w:color w:val="000000"/>
          <w:lang/>
        </w:rPr>
        <w:t>all’Art. 1</w:t>
      </w:r>
      <w:r>
        <w:rPr>
          <w:rFonts w:ascii="Arial" w:hAnsi="Arial" w:cs="Arial"/>
          <w:color w:val="000000"/>
          <w:lang/>
        </w:rPr>
        <w:t xml:space="preserve">, risulta essere ricompreso nella fascia di importo di cui al comma 2 dell’art. 157 del </w:t>
      </w:r>
      <w:proofErr w:type="spellStart"/>
      <w:r>
        <w:rPr>
          <w:rFonts w:ascii="Arial" w:hAnsi="Arial" w:cs="Arial"/>
          <w:color w:val="000000"/>
          <w:lang/>
        </w:rPr>
        <w:t>D.Lgs</w:t>
      </w:r>
      <w:proofErr w:type="spellEnd"/>
      <w:r>
        <w:rPr>
          <w:rFonts w:ascii="Arial" w:hAnsi="Arial" w:cs="Arial"/>
          <w:color w:val="000000"/>
          <w:lang/>
        </w:rPr>
        <w:t xml:space="preserve"> n. 50/2016 (vale a dire inferiore ad € 100.000,00 Euro), come quantificato in applicazione del D.M. Ministero Giustizia del 17/06/2016). Il corrispettivo è da intendersi convenuto “a corpo”, in misura fissa ed invariabile.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L’importo deve ritenersi remunerativo di tutte le prestazioni oggetto del servizio di verifica progettuale, incluse le spese.</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Durata del servizio di verifica progettuale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 verifiche della progettazione esecutiva saranno effettuate contestualmente allo sviluppo della</w:t>
      </w:r>
      <w:r w:rsidR="001D60EB">
        <w:rPr>
          <w:rFonts w:ascii="Arial" w:hAnsi="Arial" w:cs="Arial"/>
          <w:color w:val="000000"/>
          <w:lang/>
        </w:rPr>
        <w:t xml:space="preserve"> </w:t>
      </w:r>
      <w:r>
        <w:rPr>
          <w:rFonts w:ascii="Arial" w:hAnsi="Arial" w:cs="Arial"/>
          <w:color w:val="000000"/>
          <w:lang/>
        </w:rPr>
        <w:t>stessa. Il RUP pianificherà l’attività di verifica in funzione del piano di sviluppo della progettazione esecutiva e degli adempimenti di approvazione ed autorizzazione della stessa.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L’attività di verifica avrà la durata complessiva quantificata (in giorni naturali e consecutivi) dal contratto, e ricomprenderà:</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la quantificazione temporale dell’attività di verifica in corso di progettazione esecutiva;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la quantificazione temporale della verifica del progetto dalla consegna formale, da parte della Stazione Appaltante (al soggetto che effettuerà la verifica) degli elaborati e dei documenti che costituiranno la progettazione esecutiva dell’intervento.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Dovrà essere assicurato il contraddittorio con il gruppo di progettazione nell’ambito del lasso di tempo fissato dal contratto di affidamento. Eventuali proroghe o sospensioni potranno essere autorizzate dal RUP dietro motivata richiesta. Per eventuali ritardi rispetto al tempo contrattuale pattuito è applicata una penale pari all’1 per mille del corrispettivo professionale per ogni giorno naturale di ritardo e comunque non superiore al 10% del corrispettivo professionale complessivamente inteso.</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3 – Soggetti ammessi – Requisiti di partecipazione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Lo svolgimento dell’attività di verifica è incompatibile (ai sensi del comma 7 dell’art. 26 del Codice di cui al </w:t>
      </w:r>
      <w:proofErr w:type="spellStart"/>
      <w:r>
        <w:rPr>
          <w:rFonts w:ascii="Arial" w:hAnsi="Arial" w:cs="Arial"/>
          <w:color w:val="000000"/>
          <w:lang/>
        </w:rPr>
        <w:t>D.Lgs</w:t>
      </w:r>
      <w:proofErr w:type="spellEnd"/>
      <w:r>
        <w:rPr>
          <w:rFonts w:ascii="Arial" w:hAnsi="Arial" w:cs="Arial"/>
          <w:color w:val="000000"/>
          <w:lang/>
        </w:rPr>
        <w:t xml:space="preserve"> 50/2016) con lo svolgimento, per il medesimo progetto, dell’attività di progettazione, del coordinamento della sicurezza della stessa, della direzione lavori e del collaudo.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Sono ammessi a manifestare il proprio interesse i soggetti di cui all’art. 46 del Codice ed in possesso dei requisiti di cui all’art. 26, comma 6, lettera “C” del Codice.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lastRenderedPageBreak/>
        <w:t xml:space="preserve">Si applicheranno, in quanto compatibili, le indicazioni contenute nelle Linee Guida n. 1, approvate dal Consiglio dell’ANAC con Delibera n. 973 del 14 settembre 2016. (1. Organismi di ispezione di tipo A e di tipo    C,    accreditati    UNI    CEI    EN  ISO/IEC      17020      ai      sensi      del      Regolamento (CE) 765 del 2008; 2.Soggetti  di  cui  all’art.  46,  comma  1  dotati  di  un  sistema  interno  di   controllo   di   qualità   conforme   alla   UNI   EN   ISO   9001   certificato   da   Organismi    accreditati    ai    sensi    del    Regolamento CE n. 765/2008 del  Codice).  </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Gli operatori che faranno pervenire le loro manifestazioni di interesse per partecipare al presente  Avviso.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Nel caso di manifestazione di interesse da parte di raggruppamento temporaneo, l’accreditamento come Organismo di Ispezione, ai sensi della predetta norma europea, deve essere posseduto, ai sensi dell’art. 50, comma 3 del DPR 207/2010, da ciascuno dei soggetti costituiti o da costituirsi in forma associata.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partecipazione al presente Avviso non costituisce diritto al conferimento di incarichi.</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L’affidatario non potrà avvalersi del ricorso al subappalto, come previsto dall’art. 31 comma 8 del </w:t>
      </w:r>
      <w:proofErr w:type="spellStart"/>
      <w:r>
        <w:rPr>
          <w:rFonts w:ascii="Arial" w:hAnsi="Arial" w:cs="Arial"/>
          <w:color w:val="000000"/>
          <w:lang/>
        </w:rPr>
        <w:t>D.Lgs.</w:t>
      </w:r>
      <w:proofErr w:type="spellEnd"/>
      <w:r>
        <w:rPr>
          <w:rFonts w:ascii="Arial" w:hAnsi="Arial" w:cs="Arial"/>
          <w:color w:val="000000"/>
          <w:lang/>
        </w:rPr>
        <w:t xml:space="preserve"> 50/2016, fatte salve le ipotesi ivi previste e comunque sempre sotto la sua diretta responsabilità.</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Requisiti di ordine generale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è ammessa la partecipazione di operatori economici per i quali sussistono: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le cause di esclusione di cui all’art. 80 commi 1, 2, 3, 4 e 5 del Codice;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le cause di divieto, decadenza o sospensione di cui all’art. 67 del </w:t>
      </w:r>
      <w:proofErr w:type="spellStart"/>
      <w:r>
        <w:rPr>
          <w:rFonts w:ascii="Arial" w:hAnsi="Arial" w:cs="Arial"/>
          <w:color w:val="000000"/>
          <w:lang/>
        </w:rPr>
        <w:t>D.Lgs.</w:t>
      </w:r>
      <w:proofErr w:type="spellEnd"/>
      <w:r>
        <w:rPr>
          <w:rFonts w:ascii="Arial" w:hAnsi="Arial" w:cs="Arial"/>
          <w:color w:val="000000"/>
          <w:lang/>
        </w:rPr>
        <w:t xml:space="preserve"> 159/2011.</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All’atto dell’affidamento dell’incarico, nei confronti del soggetto affidatario verrà verificato il possesso dei requisiti di carattere generale di cui all’art. 80 del Codice.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In caso di presentazione di falsa dichiarazione o falsa documentazione si applica il comma 12 dello stesso art. 80 del </w:t>
      </w:r>
      <w:proofErr w:type="spellStart"/>
      <w:r>
        <w:rPr>
          <w:rFonts w:ascii="Arial" w:hAnsi="Arial" w:cs="Arial"/>
          <w:color w:val="000000"/>
          <w:lang/>
        </w:rPr>
        <w:t>D.Lgs</w:t>
      </w:r>
      <w:proofErr w:type="spellEnd"/>
      <w:r>
        <w:rPr>
          <w:rFonts w:ascii="Arial" w:hAnsi="Arial" w:cs="Arial"/>
          <w:color w:val="000000"/>
          <w:lang/>
        </w:rPr>
        <w:t xml:space="preserve"> 50/2016. Si rammenta che la falsa dichiarazione può comportare inoltre: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sanzioni penali (art. 76 del D.P.R. 445/2000);</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costituisce causa d’esclusione dalla partecipazione a successive gare per ogni tipo d’appalto;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implica segnalazione agli Ordini e/o ai Collegi Professionali, per i conseguenti provvedimenti.</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professionista che svolgerà e sottoscriverà la verifica del progetto esecutivo, in una qualunque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delle forme previste dall’art. 46 del </w:t>
      </w:r>
      <w:proofErr w:type="spellStart"/>
      <w:r>
        <w:rPr>
          <w:rFonts w:ascii="Arial" w:hAnsi="Arial" w:cs="Arial"/>
          <w:color w:val="000000"/>
          <w:lang/>
        </w:rPr>
        <w:t>D.Lgs</w:t>
      </w:r>
      <w:proofErr w:type="spellEnd"/>
      <w:r>
        <w:rPr>
          <w:rFonts w:ascii="Arial" w:hAnsi="Arial" w:cs="Arial"/>
          <w:color w:val="000000"/>
          <w:lang/>
        </w:rPr>
        <w:t xml:space="preserve"> 50/2016, dovrà essere iscritto al relativo Albo/Ordine Professionale di appartenenza (per servizi di architettura e ingegneria di cui all’art.3, lettera </w:t>
      </w:r>
      <w:proofErr w:type="spellStart"/>
      <w:r>
        <w:rPr>
          <w:rFonts w:ascii="Arial" w:hAnsi="Arial" w:cs="Arial"/>
          <w:i/>
          <w:iCs/>
          <w:color w:val="000000"/>
          <w:lang/>
        </w:rPr>
        <w:t>vvvv</w:t>
      </w:r>
      <w:proofErr w:type="spellEnd"/>
      <w:r>
        <w:rPr>
          <w:rFonts w:ascii="Arial" w:hAnsi="Arial" w:cs="Arial"/>
          <w:i/>
          <w:iCs/>
          <w:color w:val="000000"/>
          <w:lang/>
        </w:rPr>
        <w:t xml:space="preserve"> </w:t>
      </w:r>
      <w:r>
        <w:rPr>
          <w:rFonts w:ascii="Arial" w:hAnsi="Arial" w:cs="Arial"/>
          <w:color w:val="000000"/>
          <w:lang/>
        </w:rPr>
        <w:t xml:space="preserve">del </w:t>
      </w:r>
      <w:proofErr w:type="spellStart"/>
      <w:r>
        <w:rPr>
          <w:rFonts w:ascii="Arial" w:hAnsi="Arial" w:cs="Arial"/>
          <w:color w:val="000000"/>
          <w:lang/>
        </w:rPr>
        <w:t>D.Lgs</w:t>
      </w:r>
      <w:proofErr w:type="spellEnd"/>
      <w:r>
        <w:rPr>
          <w:rFonts w:ascii="Arial" w:hAnsi="Arial" w:cs="Arial"/>
          <w:color w:val="000000"/>
          <w:lang/>
        </w:rPr>
        <w:t xml:space="preserve"> 50/2016); a seconda della propria configurazione giuridica, dovrà essere iscritto alla Camera di Commercio (art. 83 del Codice) e, ove ricorrano le condizioni, disporre dei requisiti di cui agli articoli 254, 255, 256 del DPR 207/2010.</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E’ vietata al professionista la contemporanea partecipazione all’Avviso come singolo, come socio di una società di professionisti e/o di ingegneria e/o come componente di un raggruppamento di professionisti e/o di consorzio stabile, nonché come dipendente e/o collaboratore dei suddetti.</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Si richiamano inoltre i divieti di cui all’art. 26, comma 7 del Codice e, per analogia ed in mancanza di decreti attuativi del Codice, l’art. 253 del DPR 207/2010 seppure abrogato dallo stesso Codice.</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4 – Procedura di affidamento e criterio di scelta della migliore offerta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L’incarico sarà affidato, nel rispetto dei principi di non discriminazione, parità di trattamento, proporzionalità e trasparenza, secondo la procedura negoziata prevista dagli artt. 36, comma 2,</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lettera “b” e 157, comma 2 del Codice di cui al </w:t>
      </w:r>
      <w:proofErr w:type="spellStart"/>
      <w:r>
        <w:rPr>
          <w:rFonts w:ascii="Arial" w:hAnsi="Arial" w:cs="Arial"/>
          <w:color w:val="000000"/>
          <w:lang/>
        </w:rPr>
        <w:t>D.Lgs</w:t>
      </w:r>
      <w:proofErr w:type="spellEnd"/>
      <w:r>
        <w:rPr>
          <w:rFonts w:ascii="Arial" w:hAnsi="Arial" w:cs="Arial"/>
          <w:color w:val="000000"/>
          <w:lang/>
        </w:rPr>
        <w:t xml:space="preserve"> 50/2016. L’invito è rivolto ad almeno cinque soggetti, se sussistono in tale numero aspiranti idonei.</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Stazione Appaltante si riserva la possibilità di selezionare, </w:t>
      </w:r>
      <w:r>
        <w:rPr>
          <w:rFonts w:ascii="Arial" w:hAnsi="Arial" w:cs="Arial"/>
          <w:b/>
          <w:bCs/>
          <w:color w:val="000000"/>
          <w:lang/>
        </w:rPr>
        <w:t>tramite sorteggio pubblico (nel qual caso la data del sorteggio sarà comunicata con un preavviso di almeno tre giorni agli aventi titolo)</w:t>
      </w:r>
      <w:r>
        <w:rPr>
          <w:rFonts w:ascii="Arial" w:hAnsi="Arial" w:cs="Arial"/>
          <w:color w:val="000000"/>
          <w:lang/>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Gli operatori economici selezionati saranno contemporaneamente invitati a presentare le offerte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oggetto della negoziazione mediante Lettera di Invito contenente le modalità e i tempi per la ricezione delle offerte.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lastRenderedPageBreak/>
        <w:t>La lettera di invito conterrà (ai sensi del comma 8 dell’art. 267 del DPR 207/2010):</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gli elementi essenziali costituenti l’oggetto della prestazione;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l’importo economico presunto a base della procedura di affidamento;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la ricezione delle offerte;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l’espletamento dell’incarico;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ogni altro ulteriore elemento ritenuto utile (quale, ad esempio, in allegato alla lettera di invito, una nota illustrativa delle prestazioni da svolgere).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migliore offerta sarà selezionata con il </w:t>
      </w:r>
      <w:r>
        <w:rPr>
          <w:rFonts w:ascii="Arial" w:hAnsi="Arial" w:cs="Arial"/>
          <w:b/>
          <w:bCs/>
          <w:color w:val="000000"/>
          <w:lang/>
        </w:rPr>
        <w:t>criterio del prezzo più basso</w:t>
      </w:r>
      <w:r>
        <w:rPr>
          <w:rFonts w:ascii="Arial" w:hAnsi="Arial" w:cs="Arial"/>
          <w:color w:val="000000"/>
          <w:lang/>
        </w:rPr>
        <w:t xml:space="preserve">, ai sensi dell’art. 95, comma 4, lettera “b” del Codice di cui al </w:t>
      </w:r>
      <w:proofErr w:type="spellStart"/>
      <w:r>
        <w:rPr>
          <w:rFonts w:ascii="Arial" w:hAnsi="Arial" w:cs="Arial"/>
          <w:color w:val="000000"/>
          <w:lang/>
        </w:rPr>
        <w:t>D.Lgs</w:t>
      </w:r>
      <w:proofErr w:type="spellEnd"/>
      <w:r>
        <w:rPr>
          <w:rFonts w:ascii="Arial" w:hAnsi="Arial" w:cs="Arial"/>
          <w:color w:val="000000"/>
          <w:lang/>
        </w:rPr>
        <w:t xml:space="preserve"> 50/2016.</w:t>
      </w:r>
    </w:p>
    <w:p w:rsidR="00071F79" w:rsidRDefault="00071F79" w:rsidP="00071F79">
      <w:pPr>
        <w:autoSpaceDE w:val="0"/>
        <w:autoSpaceDN w:val="0"/>
        <w:adjustRightInd w:val="0"/>
        <w:spacing w:after="0" w:line="240" w:lineRule="auto"/>
        <w:jc w:val="both"/>
        <w:rPr>
          <w:rFonts w:ascii="Calibri" w:hAnsi="Calibri" w:cs="Calibri"/>
          <w:lang/>
        </w:rPr>
      </w:pP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5 – Finanziamento del servizio di verifica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finanziamento degli oneri connessi al servizio di verifica progettuale trova copertura mediante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risorse proprie del Comune.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effettuerà il pagamento dei corrispettivi entro sessanta giorni dall’avvenuta validazione, ad opera del RUP, della verifica progettuale eseguita dal soggetto verificatore, previa emissione del relativo titolo di pagamento e positiva verifica della regolarità contributiva del soggetto affidatario.</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6 – Garanzie richieste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soggetto affidatario del servizio di verifica dovrà essere munito di polizza ai sensi dell’art. 57 del DPR 207/2010, che viene qui richiamato per analogia ed in mancanza di decreti attuativi del</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Codice di cui al </w:t>
      </w:r>
      <w:proofErr w:type="spellStart"/>
      <w:r>
        <w:rPr>
          <w:rFonts w:ascii="Arial" w:hAnsi="Arial" w:cs="Arial"/>
          <w:color w:val="000000"/>
          <w:lang/>
        </w:rPr>
        <w:t>D.Lgs</w:t>
      </w:r>
      <w:proofErr w:type="spellEnd"/>
      <w:r>
        <w:rPr>
          <w:rFonts w:ascii="Arial" w:hAnsi="Arial" w:cs="Arial"/>
          <w:color w:val="000000"/>
          <w:lang/>
        </w:rPr>
        <w:t xml:space="preserve"> 50/2016, pur essendo stato abrogato da detto Codice.</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7 – Modalità e termine di presentazione della manifestazione di interesse</w:t>
      </w:r>
    </w:p>
    <w:p w:rsidR="00071F79" w:rsidRDefault="00071F79" w:rsidP="00071F79">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lang/>
        </w:rPr>
      </w:pPr>
      <w:r>
        <w:rPr>
          <w:rFonts w:ascii="Arial" w:hAnsi="Arial" w:cs="Arial"/>
          <w:lang/>
        </w:rPr>
        <w:t xml:space="preserve">La gara è disciplinata da quanto contenuto nel presente  “AVVISO” e dalle procedure di cui alla piattaforma Elettronica START (accessibile all’indirizzo internet: </w:t>
      </w:r>
      <w:hyperlink r:id="rId7" w:history="1">
        <w:r w:rsidR="001D60EB" w:rsidRPr="00FB7AF0">
          <w:rPr>
            <w:rStyle w:val="Collegamentoipertestuale"/>
            <w:rFonts w:ascii="Arial" w:hAnsi="Arial" w:cs="Arial"/>
            <w:b/>
            <w:bCs/>
            <w:lang/>
          </w:rPr>
          <w:t>https://start.toscana.it/</w:t>
        </w:r>
      </w:hyperlink>
      <w:r>
        <w:rPr>
          <w:rFonts w:ascii="Arial" w:hAnsi="Arial" w:cs="Arial"/>
          <w:lang/>
        </w:rPr>
        <w:t>).</w:t>
      </w:r>
    </w:p>
    <w:p w:rsidR="00071F79" w:rsidRDefault="00071F79" w:rsidP="00071F79">
      <w:pPr>
        <w:tabs>
          <w:tab w:val="left" w:pos="9923"/>
        </w:tabs>
        <w:autoSpaceDE w:val="0"/>
        <w:autoSpaceDN w:val="0"/>
        <w:adjustRightInd w:val="0"/>
        <w:spacing w:before="73" w:after="120" w:line="228" w:lineRule="auto"/>
        <w:ind w:right="49"/>
        <w:jc w:val="both"/>
        <w:rPr>
          <w:rFonts w:ascii="Arial" w:hAnsi="Arial" w:cs="Arial"/>
          <w:b/>
          <w:bCs/>
          <w:u w:val="single"/>
          <w:lang/>
        </w:rPr>
      </w:pPr>
      <w:r>
        <w:rPr>
          <w:rFonts w:ascii="Arial" w:hAnsi="Arial" w:cs="Arial"/>
          <w:b/>
          <w:bCs/>
          <w:lang/>
        </w:rPr>
        <w:t>La procedura si svolgerà interamente in modalità telematica</w:t>
      </w:r>
      <w:r>
        <w:rPr>
          <w:rFonts w:ascii="Arial" w:hAnsi="Arial" w:cs="Arial"/>
          <w:lang/>
        </w:rPr>
        <w:t xml:space="preserve">: le proposte dovranno essere formulate dagli operatori economici </w:t>
      </w:r>
      <w:r>
        <w:rPr>
          <w:rFonts w:ascii="Arial" w:hAnsi="Arial" w:cs="Arial"/>
          <w:b/>
          <w:bCs/>
          <w:lang/>
        </w:rPr>
        <w:t>e ricevute</w:t>
      </w:r>
      <w:r>
        <w:rPr>
          <w:rFonts w:ascii="Arial" w:hAnsi="Arial" w:cs="Arial"/>
          <w:lang/>
        </w:rPr>
        <w:t xml:space="preserve"> dalla stazione appaltante esclusivamente per mezzo del Sistema di Appalti Telematici all’indirizzo URL: </w:t>
      </w:r>
      <w:hyperlink r:id="rId8" w:history="1">
        <w:r w:rsidRPr="00FB7AF0">
          <w:rPr>
            <w:rStyle w:val="Collegamentoipertestuale"/>
            <w:rFonts w:ascii="Arial" w:hAnsi="Arial" w:cs="Arial"/>
            <w:b/>
            <w:bCs/>
            <w:lang/>
          </w:rPr>
          <w:t>https://start.toscana.it/</w:t>
        </w:r>
      </w:hyperlink>
      <w:r>
        <w:rPr>
          <w:rFonts w:ascii="Arial" w:hAnsi="Arial" w:cs="Arial"/>
          <w:b/>
          <w:bCs/>
          <w:lang/>
        </w:rPr>
        <w:t xml:space="preserve"> </w:t>
      </w:r>
      <w:r>
        <w:rPr>
          <w:rFonts w:ascii="Arial" w:hAnsi="Arial" w:cs="Arial"/>
          <w:b/>
          <w:bCs/>
          <w:u w:val="single"/>
          <w:lang/>
        </w:rPr>
        <w:t xml:space="preserve"> ENTRO E NON OLTRE LE ORE 12.00 DEL GIORNO </w:t>
      </w:r>
      <w:r w:rsidR="00AD4A12">
        <w:rPr>
          <w:rFonts w:ascii="Arial" w:hAnsi="Arial" w:cs="Arial"/>
          <w:b/>
          <w:bCs/>
          <w:u w:val="single"/>
          <w:lang/>
        </w:rPr>
        <w:t>05</w:t>
      </w:r>
      <w:r>
        <w:rPr>
          <w:rFonts w:ascii="Arial" w:hAnsi="Arial" w:cs="Arial"/>
          <w:b/>
          <w:bCs/>
          <w:u w:val="single"/>
          <w:lang/>
        </w:rPr>
        <w:t>/0</w:t>
      </w:r>
      <w:r w:rsidR="00AD4A12">
        <w:rPr>
          <w:rFonts w:ascii="Arial" w:hAnsi="Arial" w:cs="Arial"/>
          <w:b/>
          <w:bCs/>
          <w:u w:val="single"/>
          <w:lang/>
        </w:rPr>
        <w:t>4</w:t>
      </w:r>
      <w:r>
        <w:rPr>
          <w:rFonts w:ascii="Arial" w:hAnsi="Arial" w:cs="Arial"/>
          <w:b/>
          <w:bCs/>
          <w:u w:val="single"/>
          <w:lang/>
        </w:rPr>
        <w:t>/2017</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8 – Documentazione da presentare</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color w:val="000000"/>
          <w:lang/>
        </w:rPr>
        <w:t xml:space="preserve">La manifestazione d’interesse dovrà essere redatta conformemente al modello </w:t>
      </w:r>
      <w:r>
        <w:rPr>
          <w:rFonts w:ascii="Arial" w:hAnsi="Arial" w:cs="Arial"/>
          <w:b/>
          <w:bCs/>
          <w:color w:val="000000"/>
          <w:lang/>
        </w:rPr>
        <w:t xml:space="preserve">Allegato 1 </w:t>
      </w:r>
      <w:r>
        <w:rPr>
          <w:rFonts w:ascii="Arial" w:hAnsi="Arial" w:cs="Arial"/>
          <w:color w:val="000000"/>
          <w:lang/>
        </w:rPr>
        <w:t>e riportare, ai sensi del DPR 445/200, le dichiarazioni ivi prospettate</w:t>
      </w:r>
      <w:r>
        <w:rPr>
          <w:rFonts w:ascii="Arial" w:hAnsi="Arial" w:cs="Arial"/>
          <w:b/>
          <w:bCs/>
          <w:color w:val="000000"/>
          <w:lang/>
        </w:rPr>
        <w:t>.</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Detta istanza sarà sottoscritta dal legale rappresentante conformemente a detto modello </w:t>
      </w:r>
      <w:r>
        <w:rPr>
          <w:rFonts w:ascii="Arial" w:hAnsi="Arial" w:cs="Arial"/>
          <w:b/>
          <w:bCs/>
          <w:color w:val="000000"/>
          <w:lang/>
        </w:rPr>
        <w:t xml:space="preserve">Allegato 1 </w:t>
      </w:r>
      <w:r>
        <w:rPr>
          <w:rFonts w:ascii="Arial" w:hAnsi="Arial" w:cs="Arial"/>
          <w:color w:val="000000"/>
          <w:lang/>
        </w:rPr>
        <w:t>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Tutte le dichiarazioni sostitutive richieste ai fini della partecipazione alla presente procedura: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sono rilasciate ai sensi del DPR 445/2000 e </w:t>
      </w:r>
      <w:proofErr w:type="spellStart"/>
      <w:r>
        <w:rPr>
          <w:rFonts w:ascii="Arial" w:hAnsi="Arial" w:cs="Arial"/>
          <w:color w:val="000000"/>
          <w:lang/>
        </w:rPr>
        <w:t>ss.mm.ii.</w:t>
      </w:r>
      <w:proofErr w:type="spellEnd"/>
      <w:r>
        <w:rPr>
          <w:rFonts w:ascii="Arial" w:hAnsi="Arial" w:cs="Arial"/>
          <w:color w:val="000000"/>
          <w:lang/>
        </w:rPr>
        <w:t xml:space="preserve"> in carta semplice, con la</w:t>
      </w:r>
      <w:r w:rsidR="00AD4A12">
        <w:rPr>
          <w:rFonts w:ascii="Arial" w:hAnsi="Arial" w:cs="Arial"/>
          <w:color w:val="000000"/>
          <w:lang/>
        </w:rPr>
        <w:t xml:space="preserve"> </w:t>
      </w:r>
      <w:r>
        <w:rPr>
          <w:rFonts w:ascii="Arial" w:hAnsi="Arial" w:cs="Arial"/>
          <w:color w:val="000000"/>
          <w:lang/>
        </w:rPr>
        <w:t>sottoscrizione digitale del rappresentante legale del richiedente o altro soggetto dotato del potere di impegnare contrattualmente il candidato stesso;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potranno essere sottoscritte anche da procuratori dei legali rappresentanti e, in tal caso, alle dichiarazioni dovrà essere allegata copia conforme all’originale della relativa procura;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All’istanza ed agli allegati debitamente compilati sarà allegata copia fotostatica della carta di identità del/dei sottoscrittore/i (per ciascun dichiarante è sufficiente una sola copia del documento di riconoscimento anche in presenza di più dichiarazioni su più fogli distinti).</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9 - Verifica dei requisiti di partecipazione alla procedura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E’ fatta salva la facoltà per l’Azienda di verificare, in qualsiasi momento, le dichiarazioni rese dai</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lastRenderedPageBreak/>
        <w:t>concorrenti qualificati richiedenti la partecipazione all’indagine di mercato, con l’avvertenza che in caso di esito negativo dell’accertamento, si procederà alla cancellazione degli stessi dalla procedura e alla comunicazione alle autorità competenti.</w:t>
      </w:r>
    </w:p>
    <w:p w:rsidR="00071F79" w:rsidRDefault="00AD4A12"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w:t>
      </w:r>
      <w:r w:rsidR="00071F79">
        <w:rPr>
          <w:rFonts w:ascii="Arial" w:hAnsi="Arial" w:cs="Arial"/>
          <w:color w:val="000000"/>
          <w:lang/>
        </w:rPr>
        <w:t xml:space="preserv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253 del </w:t>
      </w:r>
      <w:proofErr w:type="spellStart"/>
      <w:r>
        <w:rPr>
          <w:rFonts w:ascii="Arial" w:hAnsi="Arial" w:cs="Arial"/>
          <w:color w:val="000000"/>
          <w:lang/>
        </w:rPr>
        <w:t>D.Lgs.</w:t>
      </w:r>
      <w:proofErr w:type="spellEnd"/>
      <w:r>
        <w:rPr>
          <w:rFonts w:ascii="Arial" w:hAnsi="Arial" w:cs="Arial"/>
          <w:color w:val="000000"/>
          <w:lang/>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Per i soggetti che saranno successivamente invitati alla procedura negoziata mediante specifica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Lettera di Invito, la verifica del possesso dei requisiti di carattere generale avverrà, secondo normativa.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 soggetti successivamente invitati alla procedura saranno inoltre tenuti a produrre la dichiarazione sostitutiva ai sensi del DPR 445/2000 anche da parte dei soggetti di cui all’art. 80 del Codice e segnatamente:</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Soci, Direttori Tecnici, Amministratori con poteri di rappresentanza, persone giuridiche </w:t>
      </w:r>
      <w:proofErr w:type="spellStart"/>
      <w:r>
        <w:rPr>
          <w:rFonts w:ascii="Arial" w:hAnsi="Arial" w:cs="Arial"/>
          <w:color w:val="000000"/>
          <w:lang/>
        </w:rPr>
        <w:t>plurisoggettive</w:t>
      </w:r>
      <w:proofErr w:type="spellEnd"/>
      <w:r>
        <w:rPr>
          <w:rFonts w:ascii="Arial" w:hAnsi="Arial" w:cs="Arial"/>
          <w:color w:val="000000"/>
          <w:lang/>
        </w:rPr>
        <w:t xml:space="preserve"> quali RTP, Consorzi, GEIE, ecc.</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10 – Responsabile dl Procedimento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31 del </w:t>
      </w:r>
      <w:proofErr w:type="spellStart"/>
      <w:r>
        <w:rPr>
          <w:rFonts w:ascii="Arial" w:hAnsi="Arial" w:cs="Arial"/>
          <w:color w:val="000000"/>
          <w:lang/>
        </w:rPr>
        <w:t>D.Lgs.</w:t>
      </w:r>
      <w:proofErr w:type="spellEnd"/>
      <w:r>
        <w:rPr>
          <w:rFonts w:ascii="Arial" w:hAnsi="Arial" w:cs="Arial"/>
          <w:color w:val="000000"/>
          <w:lang/>
        </w:rPr>
        <w:t xml:space="preserve"> 50/2016 e della L. 241/90 si rende noto che il Responsabile del Procedimento è l’Ing. </w:t>
      </w:r>
      <w:proofErr w:type="spellStart"/>
      <w:r>
        <w:rPr>
          <w:rFonts w:ascii="Arial" w:hAnsi="Arial" w:cs="Arial"/>
          <w:color w:val="000000"/>
          <w:lang/>
        </w:rPr>
        <w:t>Marica</w:t>
      </w:r>
      <w:proofErr w:type="spellEnd"/>
      <w:r>
        <w:rPr>
          <w:rFonts w:ascii="Arial" w:hAnsi="Arial" w:cs="Arial"/>
          <w:color w:val="000000"/>
          <w:lang/>
        </w:rPr>
        <w:t xml:space="preserve"> Bruni. Il Referente Amministrativo è la Dott.ssa Rossana </w:t>
      </w:r>
      <w:proofErr w:type="spellStart"/>
      <w:r>
        <w:rPr>
          <w:rFonts w:ascii="Arial" w:hAnsi="Arial" w:cs="Arial"/>
          <w:color w:val="000000"/>
          <w:lang/>
        </w:rPr>
        <w:t>Ceccarelli</w:t>
      </w:r>
      <w:proofErr w:type="spellEnd"/>
      <w:r>
        <w:rPr>
          <w:rFonts w:ascii="Arial" w:hAnsi="Arial" w:cs="Arial"/>
          <w:color w:val="000000"/>
          <w:lang/>
        </w:rPr>
        <w:t>.</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12 – Altre informazioni</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sono ammesse istanze condizionate o che non accettino o sollevino eccezioni e/o riserve di qualsiasi natura alle condizioni di cui al presente Avviso.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Sono richiamate le vigenti disposizioni normative e regolamentari compatibili con la presente procedura.</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 spese per la stipula del contratto e di imposte e bolli saranno a carico dell’affidatario dell’incarico.</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soggetto invitato alla procedura negoziata per concorrere all’affidamento del servizio di verifica individuerà, in sede di offerta, ai sensi dell’art. 50, comma 2, del DPR 207/2010, un coordinatore del gruppo di lavoro di verifica nella persona di un laureato in ingegneria o architettura, abilitato all’esercizio della professione da almeno dieci anni ed iscritto al relativo albo professionale, che sottoscrive tutti i rapporti rilasciati dall’Organismo di Ispezione affidatario, nonché il rapporto conclusivo di cui all’art. 54 comma 7 dello stesso DPR 207/2010, che viene qui richiamato per analogia ed in mancanza di decreti attuativi del Codice, pur essendo stato abrogato dal Codice medesimo.</w:t>
      </w:r>
    </w:p>
    <w:p w:rsidR="00071F79" w:rsidRDefault="00071F79" w:rsidP="00071F79">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Riservatezza delle informazioni</w:t>
      </w:r>
    </w:p>
    <w:p w:rsidR="00071F79" w:rsidRDefault="00071F79" w:rsidP="00071F79">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Il trattamento dei dati personali dei soggetti richiedenti sarà effettuato ai sensi del </w:t>
      </w:r>
      <w:proofErr w:type="spellStart"/>
      <w:r>
        <w:rPr>
          <w:rFonts w:ascii="Arial" w:hAnsi="Arial" w:cs="Arial"/>
          <w:color w:val="000000"/>
          <w:lang/>
        </w:rPr>
        <w:t>D.Lgs.</w:t>
      </w:r>
      <w:proofErr w:type="spellEnd"/>
      <w:r>
        <w:rPr>
          <w:rFonts w:ascii="Arial" w:hAnsi="Arial" w:cs="Arial"/>
          <w:color w:val="000000"/>
          <w:lang/>
        </w:rPr>
        <w:t xml:space="preserve"> 196/2003 e sarà finalizzato unicamente alla stesura di un elenco per l’eventuale successivo affidamento di incarico di verifica progettuale mediante procedura negoziata secondo normativa. Il trattamento dei dati sarà effettuato nei limiti necessari a perseguire le finalità sopra citate, con modalità e strumenti idonei a garantire la sicurezza e la riservatezza dei richiedenti. I dati potranno essere comunicati o portati a conoscenza di dipendenti dell’Ente coinvolti a vario titolo con l’incarico professionale. </w:t>
      </w:r>
    </w:p>
    <w:p w:rsidR="00071F79" w:rsidRDefault="00071F79" w:rsidP="00071F79">
      <w:pPr>
        <w:autoSpaceDE w:val="0"/>
        <w:autoSpaceDN w:val="0"/>
        <w:adjustRightInd w:val="0"/>
        <w:spacing w:after="0" w:line="240" w:lineRule="auto"/>
        <w:jc w:val="both"/>
        <w:rPr>
          <w:rFonts w:ascii="Calibri" w:hAnsi="Calibri" w:cs="Calibri"/>
          <w:lang/>
        </w:rPr>
      </w:pPr>
    </w:p>
    <w:p w:rsidR="00071F79" w:rsidRDefault="00071F79" w:rsidP="00071F79">
      <w:pPr>
        <w:autoSpaceDE w:val="0"/>
        <w:autoSpaceDN w:val="0"/>
        <w:adjustRightInd w:val="0"/>
        <w:spacing w:after="0" w:line="240" w:lineRule="auto"/>
        <w:jc w:val="both"/>
        <w:rPr>
          <w:rFonts w:ascii="Calibri" w:hAnsi="Calibri" w:cs="Calibri"/>
          <w:lang/>
        </w:rPr>
      </w:pPr>
    </w:p>
    <w:p w:rsidR="00C830E9" w:rsidRPr="00071F79" w:rsidRDefault="00C830E9" w:rsidP="00071F79">
      <w:pPr>
        <w:autoSpaceDE w:val="0"/>
        <w:autoSpaceDN w:val="0"/>
        <w:adjustRightInd w:val="0"/>
        <w:spacing w:after="0" w:line="240" w:lineRule="auto"/>
        <w:rPr>
          <w:lang/>
        </w:rPr>
      </w:pPr>
    </w:p>
    <w:sectPr w:rsidR="00C830E9" w:rsidRPr="00071F79" w:rsidSect="00704AA6">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688802"/>
    <w:lvl w:ilvl="0">
      <w:numFmt w:val="bullet"/>
      <w:lvlText w:val="*"/>
      <w:lvlJc w:val="left"/>
    </w:lvl>
  </w:abstractNum>
  <w:abstractNum w:abstractNumId="1">
    <w:nsid w:val="09BC1CC0"/>
    <w:multiLevelType w:val="hybridMultilevel"/>
    <w:tmpl w:val="BF86FB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480A98"/>
    <w:multiLevelType w:val="hybridMultilevel"/>
    <w:tmpl w:val="F5602F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0901129"/>
    <w:multiLevelType w:val="hybridMultilevel"/>
    <w:tmpl w:val="BFB62A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04AA6"/>
    <w:rsid w:val="00071F79"/>
    <w:rsid w:val="001D60EB"/>
    <w:rsid w:val="003B15BC"/>
    <w:rsid w:val="004A4F35"/>
    <w:rsid w:val="005F4984"/>
    <w:rsid w:val="006A521D"/>
    <w:rsid w:val="00704AA6"/>
    <w:rsid w:val="007216A7"/>
    <w:rsid w:val="00766AE6"/>
    <w:rsid w:val="0077055E"/>
    <w:rsid w:val="00950C59"/>
    <w:rsid w:val="0096654F"/>
    <w:rsid w:val="00AD4A12"/>
    <w:rsid w:val="00B34F56"/>
    <w:rsid w:val="00C00198"/>
    <w:rsid w:val="00C830E9"/>
    <w:rsid w:val="00D2453A"/>
    <w:rsid w:val="00D5300B"/>
    <w:rsid w:val="00D61284"/>
    <w:rsid w:val="00DE3324"/>
    <w:rsid w:val="00EE0274"/>
    <w:rsid w:val="00F86E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4A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1284"/>
    <w:pPr>
      <w:ind w:left="720"/>
      <w:contextualSpacing/>
    </w:pPr>
  </w:style>
  <w:style w:type="character" w:styleId="Collegamentoipertestuale">
    <w:name w:val="Hyperlink"/>
    <w:basedOn w:val="Carpredefinitoparagrafo"/>
    <w:uiPriority w:val="99"/>
    <w:unhideWhenUsed/>
    <w:rsid w:val="005F49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t.toscana.it/" TargetMode="External"/><Relationship Id="rId3" Type="http://schemas.openxmlformats.org/officeDocument/2006/relationships/styles" Target="styles.xml"/><Relationship Id="rId7" Type="http://schemas.openxmlformats.org/officeDocument/2006/relationships/hyperlink" Target="https://start.tosca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C57B5-6606-4F5B-9D58-01710F1B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2896</Words>
  <Characters>16512</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2017-03-26T13:46:00Z</dcterms:created>
  <dcterms:modified xsi:type="dcterms:W3CDTF">2017-03-26T14:18:00Z</dcterms:modified>
</cp:coreProperties>
</file>