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05011F" w:rsidRDefault="0037004A" w:rsidP="0005011F">
      <w:pPr>
        <w:jc w:val="both"/>
        <w:rPr>
          <w:rFonts w:ascii="Arial" w:hAnsi="Arial" w:cs="Arial"/>
          <w:b/>
          <w:bCs/>
        </w:rPr>
      </w:pPr>
    </w:p>
    <w:p w:rsidR="0037004A" w:rsidRPr="009146D4" w:rsidRDefault="0037004A" w:rsidP="009146D4">
      <w:pPr>
        <w:jc w:val="both"/>
        <w:rPr>
          <w:rFonts w:ascii="Arial" w:hAnsi="Arial" w:cs="Arial"/>
          <w:b/>
          <w:bCs/>
        </w:rPr>
      </w:pPr>
      <w:r w:rsidRPr="00121E3F">
        <w:rPr>
          <w:rFonts w:ascii="Arial" w:hAnsi="Arial" w:cs="Arial"/>
          <w:b/>
          <w:bCs/>
        </w:rPr>
        <w:t>PER L'AFFIDAMENTO</w:t>
      </w:r>
      <w:r w:rsidR="00121E3F">
        <w:rPr>
          <w:rFonts w:ascii="Arial" w:hAnsi="Arial" w:cs="Arial"/>
          <w:b/>
          <w:bCs/>
        </w:rPr>
        <w:t xml:space="preserve"> </w:t>
      </w:r>
      <w:r w:rsidR="0005011F">
        <w:rPr>
          <w:rFonts w:ascii="Arial" w:hAnsi="Arial" w:cs="Arial"/>
          <w:b/>
          <w:bCs/>
        </w:rPr>
        <w:t xml:space="preserve">DELLA </w:t>
      </w:r>
      <w:r w:rsidR="0005011F" w:rsidRPr="0005011F">
        <w:rPr>
          <w:rFonts w:ascii="Arial" w:hAnsi="Arial" w:cs="Arial"/>
          <w:b/>
          <w:bCs/>
        </w:rPr>
        <w:t xml:space="preserve">FORNITURA </w:t>
      </w:r>
      <w:r w:rsidR="00A15CB8">
        <w:rPr>
          <w:rFonts w:ascii="Arial" w:hAnsi="Arial" w:cs="Arial"/>
          <w:b/>
          <w:bCs/>
        </w:rPr>
        <w:t>DÌ PIETRISCO PER LE STRADE COMUNALI E VICINALI</w:t>
      </w:r>
      <w:r w:rsidR="0005011F" w:rsidRPr="0005011F">
        <w:rPr>
          <w:rFonts w:ascii="Arial" w:hAnsi="Arial" w:cs="Arial"/>
          <w:b/>
          <w:bCs/>
        </w:rPr>
        <w:t xml:space="preserve"> PRELEVATO CON MEZZI COMUNALI DIRETTAMENTE DALL</w:t>
      </w:r>
      <w:r w:rsidR="00A15CB8">
        <w:rPr>
          <w:rFonts w:ascii="Arial" w:hAnsi="Arial" w:cs="Arial"/>
          <w:b/>
          <w:bCs/>
        </w:rPr>
        <w:t>A CAVA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Calibri" w:hAnsi="Calibri" w:cs="Calibri"/>
        </w:rPr>
      </w:pPr>
    </w:p>
    <w:p w:rsidR="004B5EAF" w:rsidRPr="009146D4" w:rsidRDefault="0037004A" w:rsidP="004B5EAF">
      <w:pPr>
        <w:jc w:val="both"/>
        <w:rPr>
          <w:rFonts w:ascii="Arial" w:hAnsi="Arial" w:cs="Arial"/>
          <w:b/>
          <w:bCs/>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05011F">
        <w:rPr>
          <w:rFonts w:ascii="Arial" w:hAnsi="Arial" w:cs="Arial"/>
          <w:b/>
          <w:bCs/>
        </w:rPr>
        <w:t xml:space="preserve">DELLA </w:t>
      </w:r>
      <w:r w:rsidR="0005011F" w:rsidRPr="0005011F">
        <w:rPr>
          <w:rFonts w:ascii="Arial" w:hAnsi="Arial" w:cs="Arial"/>
          <w:b/>
          <w:bCs/>
        </w:rPr>
        <w:t xml:space="preserve">FORNITURA </w:t>
      </w:r>
      <w:r w:rsidR="004B5EAF">
        <w:rPr>
          <w:rFonts w:ascii="Arial" w:hAnsi="Arial" w:cs="Arial"/>
          <w:b/>
          <w:bCs/>
        </w:rPr>
        <w:t>DÌ PIETRISCO PER LE STRADE COMUNALI E VICINALI</w:t>
      </w:r>
      <w:r w:rsidR="004B5EAF" w:rsidRPr="0005011F">
        <w:rPr>
          <w:rFonts w:ascii="Arial" w:hAnsi="Arial" w:cs="Arial"/>
          <w:b/>
          <w:bCs/>
        </w:rPr>
        <w:t xml:space="preserve"> PRELEVATO CON MEZZI COMUNALI DIRETTAMENTE DALL</w:t>
      </w:r>
      <w:r w:rsidR="004B5EAF">
        <w:rPr>
          <w:rFonts w:ascii="Arial" w:hAnsi="Arial" w:cs="Arial"/>
          <w:b/>
          <w:bCs/>
        </w:rPr>
        <w:t>A CAVA</w:t>
      </w:r>
    </w:p>
    <w:p w:rsidR="0037004A" w:rsidRDefault="0037004A" w:rsidP="004B5EAF">
      <w:pPr>
        <w:spacing w:line="240" w:lineRule="auto"/>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9146D4">
        <w:rPr>
          <w:rFonts w:ascii="Arial" w:hAnsi="Arial" w:cs="Arial"/>
          <w:color w:val="000000"/>
        </w:rPr>
        <w:t>lla fornitura</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4B5EAF" w:rsidRPr="009146D4" w:rsidRDefault="0037004A" w:rsidP="004B5EAF">
      <w:pPr>
        <w:jc w:val="both"/>
        <w:rPr>
          <w:rFonts w:ascii="Arial" w:hAnsi="Arial" w:cs="Arial"/>
          <w:b/>
          <w:bCs/>
        </w:rPr>
      </w:pPr>
      <w:r>
        <w:rPr>
          <w:rFonts w:ascii="Arial" w:hAnsi="Arial" w:cs="Arial"/>
        </w:rPr>
        <w:t xml:space="preserve">Oggetto della presente procedura è l’affidamento </w:t>
      </w:r>
      <w:r w:rsidR="0005011F">
        <w:rPr>
          <w:rFonts w:ascii="Arial" w:hAnsi="Arial" w:cs="Arial"/>
          <w:b/>
          <w:bCs/>
        </w:rPr>
        <w:t xml:space="preserve">DELLA </w:t>
      </w:r>
      <w:r w:rsidR="0005011F" w:rsidRPr="0005011F">
        <w:rPr>
          <w:rFonts w:ascii="Arial" w:hAnsi="Arial" w:cs="Arial"/>
          <w:b/>
          <w:bCs/>
        </w:rPr>
        <w:t xml:space="preserve">FORNITURA </w:t>
      </w:r>
      <w:r w:rsidR="004B5EAF">
        <w:rPr>
          <w:rFonts w:ascii="Arial" w:hAnsi="Arial" w:cs="Arial"/>
          <w:b/>
          <w:bCs/>
        </w:rPr>
        <w:t>DÌ PIETRISCO PER LE STRADE COMUNALI E VICINALI</w:t>
      </w:r>
      <w:r w:rsidR="004B5EAF" w:rsidRPr="0005011F">
        <w:rPr>
          <w:rFonts w:ascii="Arial" w:hAnsi="Arial" w:cs="Arial"/>
          <w:b/>
          <w:bCs/>
        </w:rPr>
        <w:t xml:space="preserve"> PRELEVATO CON MEZZI COMUNALI DIRETTAMENTE DALL</w:t>
      </w:r>
      <w:r w:rsidR="004B5EAF">
        <w:rPr>
          <w:rFonts w:ascii="Arial" w:hAnsi="Arial" w:cs="Arial"/>
          <w:b/>
          <w:bCs/>
        </w:rPr>
        <w:t>A CAVA</w:t>
      </w:r>
    </w:p>
    <w:p w:rsidR="0037004A" w:rsidRDefault="0037004A" w:rsidP="009146D4">
      <w:pPr>
        <w:jc w:val="both"/>
        <w:rPr>
          <w:rFonts w:ascii="Arial" w:hAnsi="Arial" w:cs="Arial"/>
          <w:b/>
          <w:bCs/>
          <w:color w:val="000000"/>
        </w:rPr>
      </w:pPr>
      <w:r>
        <w:rPr>
          <w:rFonts w:ascii="Arial" w:hAnsi="Arial" w:cs="Arial"/>
        </w:rPr>
        <w:t xml:space="preserve"> </w:t>
      </w: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lastRenderedPageBreak/>
        <w:t xml:space="preserve">Il valore presunto del presente appalto, è stabilito in € </w:t>
      </w:r>
      <w:r w:rsidR="004B5EAF">
        <w:rPr>
          <w:rFonts w:ascii="Arial" w:hAnsi="Arial" w:cs="Arial"/>
          <w:color w:val="000000"/>
        </w:rPr>
        <w:t>39</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21</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5011F"/>
    <w:rsid w:val="00121E3F"/>
    <w:rsid w:val="001A71FB"/>
    <w:rsid w:val="001E438E"/>
    <w:rsid w:val="002026FE"/>
    <w:rsid w:val="00240333"/>
    <w:rsid w:val="0037004A"/>
    <w:rsid w:val="004B5EAF"/>
    <w:rsid w:val="00652692"/>
    <w:rsid w:val="00856AAC"/>
    <w:rsid w:val="009146D4"/>
    <w:rsid w:val="00A15CB8"/>
    <w:rsid w:val="00C77B25"/>
    <w:rsid w:val="00C830E9"/>
    <w:rsid w:val="00D423F4"/>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9D28-600B-418E-BF18-F41CE2CB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1601</Words>
  <Characters>9126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2017-04-10T16:35:00Z</dcterms:created>
  <dcterms:modified xsi:type="dcterms:W3CDTF">2017-04-10T16:35:00Z</dcterms:modified>
</cp:coreProperties>
</file>