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8E1" w:rsidRDefault="00B708E1" w:rsidP="002324D2">
      <w:pPr>
        <w:jc w:val="center"/>
        <w:rPr>
          <w:b/>
          <w:sz w:val="28"/>
          <w:szCs w:val="28"/>
        </w:rPr>
      </w:pPr>
    </w:p>
    <w:p w:rsidR="006211EE" w:rsidRDefault="006211EE" w:rsidP="002324D2">
      <w:pPr>
        <w:jc w:val="center"/>
        <w:rPr>
          <w:b/>
          <w:sz w:val="20"/>
          <w:szCs w:val="20"/>
        </w:rPr>
      </w:pPr>
      <w:r w:rsidRPr="006211EE">
        <w:rPr>
          <w:b/>
          <w:sz w:val="20"/>
          <w:szCs w:val="20"/>
        </w:rPr>
        <w:t xml:space="preserve">AVVISO PER L’INDIVIDUAZIONE DEGLI OPERATORI ECONOMICI </w:t>
      </w:r>
    </w:p>
    <w:p w:rsidR="002778F9" w:rsidRDefault="006211EE" w:rsidP="002324D2">
      <w:pPr>
        <w:jc w:val="center"/>
        <w:rPr>
          <w:b/>
          <w:sz w:val="20"/>
          <w:szCs w:val="20"/>
        </w:rPr>
      </w:pPr>
      <w:r w:rsidRPr="006211EE">
        <w:rPr>
          <w:b/>
          <w:sz w:val="20"/>
          <w:szCs w:val="20"/>
        </w:rPr>
        <w:t xml:space="preserve">PER L’AFFIDAMENTO </w:t>
      </w:r>
      <w:proofErr w:type="spellStart"/>
      <w:r w:rsidRPr="006211EE">
        <w:rPr>
          <w:b/>
          <w:sz w:val="20"/>
          <w:szCs w:val="20"/>
        </w:rPr>
        <w:t>DI</w:t>
      </w:r>
      <w:proofErr w:type="spellEnd"/>
      <w:r w:rsidRPr="006211EE">
        <w:rPr>
          <w:b/>
          <w:sz w:val="20"/>
          <w:szCs w:val="20"/>
        </w:rPr>
        <w:t xml:space="preserve"> </w:t>
      </w:r>
      <w:r w:rsidR="00411229">
        <w:rPr>
          <w:b/>
          <w:sz w:val="20"/>
          <w:szCs w:val="20"/>
        </w:rPr>
        <w:t>INCARICO PROFESSIONALE</w:t>
      </w:r>
      <w:r w:rsidRPr="006211EE">
        <w:rPr>
          <w:b/>
          <w:sz w:val="20"/>
          <w:szCs w:val="20"/>
        </w:rPr>
        <w:t xml:space="preserve"> MEDIANTE PROCEDURA NEGOZIATA</w:t>
      </w:r>
    </w:p>
    <w:p w:rsidR="006211EE" w:rsidRPr="006211EE" w:rsidRDefault="006211EE" w:rsidP="002324D2">
      <w:pPr>
        <w:jc w:val="center"/>
        <w:rPr>
          <w:b/>
          <w:sz w:val="20"/>
          <w:szCs w:val="20"/>
        </w:rPr>
      </w:pPr>
      <w:r>
        <w:rPr>
          <w:b/>
          <w:sz w:val="20"/>
          <w:szCs w:val="20"/>
        </w:rPr>
        <w:t xml:space="preserve">Ai sensi dell’art. 36 comma 2, lettera c) del D. </w:t>
      </w:r>
      <w:proofErr w:type="spellStart"/>
      <w:r>
        <w:rPr>
          <w:b/>
          <w:sz w:val="20"/>
          <w:szCs w:val="20"/>
        </w:rPr>
        <w:t>lgs</w:t>
      </w:r>
      <w:proofErr w:type="spellEnd"/>
      <w:r>
        <w:rPr>
          <w:b/>
          <w:sz w:val="20"/>
          <w:szCs w:val="20"/>
        </w:rPr>
        <w:t xml:space="preserve"> n. 50/2016</w:t>
      </w:r>
    </w:p>
    <w:p w:rsidR="001152C4" w:rsidRPr="00B708E1" w:rsidRDefault="001152C4" w:rsidP="002324D2">
      <w:pPr>
        <w:jc w:val="center"/>
        <w:rPr>
          <w:b/>
          <w:sz w:val="22"/>
          <w:szCs w:val="22"/>
        </w:rPr>
      </w:pPr>
    </w:p>
    <w:p w:rsidR="002778F9" w:rsidRPr="00316822" w:rsidRDefault="00FF42B0" w:rsidP="00E75F93">
      <w:pPr>
        <w:jc w:val="both"/>
        <w:rPr>
          <w:rFonts w:eastAsia="Tahoma"/>
          <w:sz w:val="22"/>
          <w:szCs w:val="22"/>
        </w:rPr>
      </w:pPr>
      <w:r w:rsidRPr="00FF42B0">
        <w:rPr>
          <w:sz w:val="22"/>
          <w:szCs w:val="22"/>
        </w:rPr>
        <w:t>Con il presente avviso</w:t>
      </w:r>
      <w:r>
        <w:rPr>
          <w:sz w:val="22"/>
          <w:szCs w:val="22"/>
        </w:rPr>
        <w:t xml:space="preserve"> si richiede agli oper</w:t>
      </w:r>
      <w:r w:rsidR="00384542">
        <w:rPr>
          <w:sz w:val="22"/>
          <w:szCs w:val="22"/>
        </w:rPr>
        <w:t>a</w:t>
      </w:r>
      <w:r>
        <w:rPr>
          <w:sz w:val="22"/>
          <w:szCs w:val="22"/>
        </w:rPr>
        <w:t xml:space="preserve">tori economici di manifestare l’interesse ad essere invitati alla procedura, svolta in modalità telematica, per l’affidamento di </w:t>
      </w:r>
      <w:r w:rsidR="00411229">
        <w:rPr>
          <w:sz w:val="22"/>
          <w:szCs w:val="22"/>
        </w:rPr>
        <w:t xml:space="preserve">incarico professionale per il </w:t>
      </w:r>
      <w:r w:rsidR="00411229" w:rsidRPr="00411229">
        <w:rPr>
          <w:b/>
          <w:sz w:val="22"/>
          <w:szCs w:val="22"/>
        </w:rPr>
        <w:t>collaudo strutturale e tecnico amministrativo in corso d’opera</w:t>
      </w:r>
      <w:r w:rsidR="00411229">
        <w:rPr>
          <w:sz w:val="22"/>
          <w:szCs w:val="22"/>
        </w:rPr>
        <w:t xml:space="preserve"> per la realizzazione dei </w:t>
      </w:r>
      <w:r>
        <w:rPr>
          <w:sz w:val="22"/>
          <w:szCs w:val="22"/>
        </w:rPr>
        <w:t xml:space="preserve">lavori </w:t>
      </w:r>
      <w:r w:rsidRPr="00316822">
        <w:rPr>
          <w:sz w:val="22"/>
          <w:szCs w:val="22"/>
        </w:rPr>
        <w:t>di:</w:t>
      </w:r>
      <w:r w:rsidRPr="00411229">
        <w:rPr>
          <w:sz w:val="22"/>
          <w:szCs w:val="22"/>
        </w:rPr>
        <w:t xml:space="preserve"> </w:t>
      </w:r>
      <w:r w:rsidR="00411229">
        <w:rPr>
          <w:sz w:val="22"/>
          <w:szCs w:val="22"/>
        </w:rPr>
        <w:t>“</w:t>
      </w:r>
      <w:r w:rsidR="00411229" w:rsidRPr="00411229">
        <w:rPr>
          <w:sz w:val="22"/>
          <w:szCs w:val="22"/>
        </w:rPr>
        <w:t xml:space="preserve">Completamento di n. 32 alloggi nella zona </w:t>
      </w:r>
      <w:proofErr w:type="spellStart"/>
      <w:r w:rsidR="00411229" w:rsidRPr="00411229">
        <w:rPr>
          <w:sz w:val="22"/>
          <w:szCs w:val="22"/>
        </w:rPr>
        <w:t>P.E.E.P</w:t>
      </w:r>
      <w:proofErr w:type="spellEnd"/>
      <w:r w:rsidR="000C115E" w:rsidRPr="00411229">
        <w:rPr>
          <w:sz w:val="22"/>
          <w:szCs w:val="22"/>
        </w:rPr>
        <w:t xml:space="preserve"> </w:t>
      </w:r>
      <w:r w:rsidR="00411229" w:rsidRPr="00411229">
        <w:rPr>
          <w:sz w:val="22"/>
          <w:szCs w:val="22"/>
        </w:rPr>
        <w:t>in località Stagno</w:t>
      </w:r>
      <w:r w:rsidR="00411229">
        <w:rPr>
          <w:sz w:val="22"/>
          <w:szCs w:val="22"/>
        </w:rPr>
        <w:t>”</w:t>
      </w:r>
      <w:r w:rsidR="00411229" w:rsidRPr="00411229">
        <w:rPr>
          <w:sz w:val="22"/>
          <w:szCs w:val="22"/>
        </w:rPr>
        <w:t xml:space="preserve"> </w:t>
      </w:r>
      <w:r w:rsidR="002778F9" w:rsidRPr="00316822">
        <w:rPr>
          <w:sz w:val="22"/>
          <w:szCs w:val="22"/>
        </w:rPr>
        <w:t>nel rispetto dei principi di non discriminazione, parità di trattamento, proporzionalità e trasparenza,</w:t>
      </w:r>
      <w:r w:rsidR="00BF79FF" w:rsidRPr="00316822">
        <w:rPr>
          <w:sz w:val="22"/>
          <w:szCs w:val="22"/>
        </w:rPr>
        <w:t xml:space="preserve"> gli operatori economici</w:t>
      </w:r>
      <w:r w:rsidR="002778F9" w:rsidRPr="00316822">
        <w:rPr>
          <w:sz w:val="22"/>
          <w:szCs w:val="22"/>
        </w:rPr>
        <w:t xml:space="preserve">, da invitare alla procedura negoziata ai sensi dell’art. </w:t>
      </w:r>
      <w:r w:rsidR="00766A9A" w:rsidRPr="00316822">
        <w:rPr>
          <w:sz w:val="22"/>
          <w:szCs w:val="22"/>
        </w:rPr>
        <w:t>36</w:t>
      </w:r>
      <w:r w:rsidR="009B1C70" w:rsidRPr="00316822">
        <w:rPr>
          <w:sz w:val="22"/>
          <w:szCs w:val="22"/>
        </w:rPr>
        <w:t xml:space="preserve"> e 46</w:t>
      </w:r>
      <w:r w:rsidR="002778F9" w:rsidRPr="00316822">
        <w:rPr>
          <w:sz w:val="22"/>
          <w:szCs w:val="22"/>
        </w:rPr>
        <w:t xml:space="preserve"> del  D. </w:t>
      </w:r>
      <w:proofErr w:type="spellStart"/>
      <w:r w:rsidR="002778F9" w:rsidRPr="00316822">
        <w:rPr>
          <w:sz w:val="22"/>
          <w:szCs w:val="22"/>
        </w:rPr>
        <w:t>Lgs</w:t>
      </w:r>
      <w:proofErr w:type="spellEnd"/>
      <w:r w:rsidR="002778F9" w:rsidRPr="00316822">
        <w:rPr>
          <w:sz w:val="22"/>
          <w:szCs w:val="22"/>
        </w:rPr>
        <w:t xml:space="preserve">. </w:t>
      </w:r>
      <w:r w:rsidR="00BF79FF" w:rsidRPr="00316822">
        <w:rPr>
          <w:sz w:val="22"/>
          <w:szCs w:val="22"/>
        </w:rPr>
        <w:t>50/2016</w:t>
      </w:r>
      <w:r w:rsidR="002778F9" w:rsidRPr="00316822">
        <w:rPr>
          <w:sz w:val="22"/>
          <w:szCs w:val="22"/>
        </w:rPr>
        <w:t>.</w:t>
      </w:r>
    </w:p>
    <w:p w:rsidR="002324D2" w:rsidRPr="00B708E1" w:rsidRDefault="002778F9" w:rsidP="002324D2">
      <w:pPr>
        <w:jc w:val="both"/>
        <w:rPr>
          <w:rFonts w:eastAsia="Tahoma"/>
          <w:sz w:val="22"/>
          <w:szCs w:val="22"/>
        </w:rPr>
      </w:pPr>
      <w:r w:rsidRPr="00B708E1">
        <w:rPr>
          <w:rFonts w:eastAsia="Tahoma"/>
          <w:sz w:val="22"/>
          <w:szCs w:val="22"/>
        </w:rPr>
        <w:t xml:space="preserve">      </w:t>
      </w:r>
    </w:p>
    <w:p w:rsidR="000C115E" w:rsidRDefault="00384542" w:rsidP="002324D2">
      <w:pPr>
        <w:jc w:val="both"/>
        <w:rPr>
          <w:sz w:val="22"/>
          <w:szCs w:val="22"/>
        </w:rPr>
      </w:pPr>
      <w:r>
        <w:rPr>
          <w:sz w:val="22"/>
          <w:szCs w:val="22"/>
        </w:rPr>
        <w:t>Elementi della procedura e del contratto:</w:t>
      </w:r>
    </w:p>
    <w:p w:rsidR="00400ECE" w:rsidRDefault="00400ECE" w:rsidP="002324D2">
      <w:pPr>
        <w:jc w:val="both"/>
        <w:rPr>
          <w:b/>
          <w:sz w:val="22"/>
          <w:szCs w:val="22"/>
        </w:rPr>
      </w:pPr>
    </w:p>
    <w:p w:rsidR="00685B83" w:rsidRPr="00685B83" w:rsidRDefault="00685B83" w:rsidP="002324D2">
      <w:pPr>
        <w:jc w:val="both"/>
        <w:rPr>
          <w:b/>
          <w:sz w:val="22"/>
          <w:szCs w:val="22"/>
        </w:rPr>
      </w:pPr>
      <w:r w:rsidRPr="00685B83">
        <w:rPr>
          <w:b/>
          <w:sz w:val="22"/>
          <w:szCs w:val="22"/>
        </w:rPr>
        <w:t>Prescrizioni contrattuali</w:t>
      </w:r>
    </w:p>
    <w:p w:rsidR="00384542" w:rsidRDefault="00685B83" w:rsidP="002324D2">
      <w:pPr>
        <w:jc w:val="both"/>
        <w:rPr>
          <w:sz w:val="22"/>
          <w:szCs w:val="22"/>
        </w:rPr>
      </w:pPr>
      <w:r>
        <w:rPr>
          <w:sz w:val="22"/>
          <w:szCs w:val="22"/>
        </w:rPr>
        <w:t>Il rapporto contrattuale è disciplinato dal disciplinare di gara, allegato al presente avviso. I servizi da affidare sono definiti nel dettaglio, unitamente alla determinazione dei corrispettivi posti a base della procedura, nell’allegato calcolo della spesa per l’acquisizione del servizio.</w:t>
      </w:r>
    </w:p>
    <w:p w:rsidR="00685B83" w:rsidRPr="00685B83" w:rsidRDefault="00685B83" w:rsidP="002324D2">
      <w:pPr>
        <w:jc w:val="both"/>
        <w:rPr>
          <w:sz w:val="22"/>
          <w:szCs w:val="22"/>
        </w:rPr>
      </w:pPr>
    </w:p>
    <w:p w:rsidR="00384542" w:rsidRDefault="00384542" w:rsidP="002324D2">
      <w:pPr>
        <w:jc w:val="both"/>
        <w:rPr>
          <w:b/>
          <w:sz w:val="22"/>
          <w:szCs w:val="22"/>
        </w:rPr>
      </w:pPr>
      <w:r>
        <w:rPr>
          <w:b/>
          <w:sz w:val="22"/>
          <w:szCs w:val="22"/>
        </w:rPr>
        <w:t>Criterio di aggiudicazione</w:t>
      </w:r>
    </w:p>
    <w:p w:rsidR="00384542" w:rsidRDefault="00384542" w:rsidP="002324D2">
      <w:pPr>
        <w:jc w:val="both"/>
        <w:rPr>
          <w:sz w:val="22"/>
          <w:szCs w:val="22"/>
        </w:rPr>
      </w:pPr>
      <w:r w:rsidRPr="00384542">
        <w:rPr>
          <w:sz w:val="22"/>
          <w:szCs w:val="22"/>
        </w:rPr>
        <w:t>L’appalto</w:t>
      </w:r>
      <w:r>
        <w:rPr>
          <w:sz w:val="22"/>
          <w:szCs w:val="22"/>
        </w:rPr>
        <w:t xml:space="preserve"> sarà aggiudicato con il criterio del minor prezzo ai sensi dell’art. 95, comma 4 lettera a) del D. </w:t>
      </w:r>
      <w:proofErr w:type="spellStart"/>
      <w:r>
        <w:rPr>
          <w:sz w:val="22"/>
          <w:szCs w:val="22"/>
        </w:rPr>
        <w:t>Lgs</w:t>
      </w:r>
      <w:proofErr w:type="spellEnd"/>
      <w:r>
        <w:rPr>
          <w:sz w:val="22"/>
          <w:szCs w:val="22"/>
        </w:rPr>
        <w:t xml:space="preserve"> n. 50/2016 per motivi di urgenza mediante offerta a prezzi unitari, con esclusione automatica ai sensi dell’art. 97, comma 8, del d. </w:t>
      </w:r>
      <w:proofErr w:type="spellStart"/>
      <w:r>
        <w:rPr>
          <w:sz w:val="22"/>
          <w:szCs w:val="22"/>
        </w:rPr>
        <w:t>lgs</w:t>
      </w:r>
      <w:proofErr w:type="spellEnd"/>
      <w:r>
        <w:rPr>
          <w:sz w:val="22"/>
          <w:szCs w:val="22"/>
        </w:rPr>
        <w:t xml:space="preserve"> 50/2016 delle offerte che presentano una percentuale di ribasso pari o superiore alla soglia di anomali</w:t>
      </w:r>
      <w:r w:rsidR="00400ECE">
        <w:rPr>
          <w:sz w:val="22"/>
          <w:szCs w:val="22"/>
        </w:rPr>
        <w:t>a</w:t>
      </w:r>
      <w:r>
        <w:rPr>
          <w:sz w:val="22"/>
          <w:szCs w:val="22"/>
        </w:rPr>
        <w:t xml:space="preserve"> individuata ai sensi dell’art. 97, comma 2, del d. </w:t>
      </w:r>
      <w:proofErr w:type="spellStart"/>
      <w:r>
        <w:rPr>
          <w:sz w:val="22"/>
          <w:szCs w:val="22"/>
        </w:rPr>
        <w:t>Lgs</w:t>
      </w:r>
      <w:proofErr w:type="spellEnd"/>
      <w:r>
        <w:rPr>
          <w:sz w:val="22"/>
          <w:szCs w:val="22"/>
        </w:rPr>
        <w:t xml:space="preserve"> n. 50/2016</w:t>
      </w:r>
      <w:r w:rsidR="00400ECE">
        <w:rPr>
          <w:sz w:val="22"/>
          <w:szCs w:val="22"/>
        </w:rPr>
        <w:t>;</w:t>
      </w:r>
    </w:p>
    <w:p w:rsidR="001B5F46" w:rsidRDefault="001B5F46" w:rsidP="002324D2">
      <w:pPr>
        <w:jc w:val="both"/>
        <w:rPr>
          <w:sz w:val="22"/>
          <w:szCs w:val="22"/>
        </w:rPr>
      </w:pPr>
    </w:p>
    <w:p w:rsidR="001B5F46" w:rsidRDefault="001B5F46" w:rsidP="002324D2">
      <w:pPr>
        <w:jc w:val="both"/>
        <w:rPr>
          <w:sz w:val="22"/>
          <w:szCs w:val="22"/>
        </w:rPr>
      </w:pPr>
      <w:r>
        <w:rPr>
          <w:sz w:val="22"/>
          <w:szCs w:val="22"/>
        </w:rPr>
        <w:t>Durata del contratto o tempi di esecuzione dei lavori:</w:t>
      </w:r>
      <w:r w:rsidR="003A2D2F">
        <w:rPr>
          <w:sz w:val="22"/>
          <w:szCs w:val="22"/>
        </w:rPr>
        <w:t xml:space="preserve"> 18 mesi decorrenti dalla data di consegna dei lavori</w:t>
      </w:r>
      <w:r w:rsidR="00843B44">
        <w:rPr>
          <w:sz w:val="22"/>
          <w:szCs w:val="22"/>
        </w:rPr>
        <w:t>.</w:t>
      </w:r>
    </w:p>
    <w:p w:rsidR="001B5F46" w:rsidRPr="00384542" w:rsidRDefault="001B5F46" w:rsidP="002324D2">
      <w:pPr>
        <w:jc w:val="both"/>
        <w:rPr>
          <w:sz w:val="22"/>
          <w:szCs w:val="22"/>
        </w:rPr>
      </w:pPr>
    </w:p>
    <w:p w:rsidR="00843B44" w:rsidRDefault="00843B44" w:rsidP="002324D2">
      <w:pPr>
        <w:jc w:val="both"/>
        <w:rPr>
          <w:sz w:val="22"/>
          <w:szCs w:val="22"/>
        </w:rPr>
      </w:pPr>
      <w:r>
        <w:rPr>
          <w:sz w:val="22"/>
          <w:szCs w:val="22"/>
        </w:rPr>
        <w:t>Requisiti di partecipazione:</w:t>
      </w:r>
    </w:p>
    <w:p w:rsidR="00B817FF" w:rsidRPr="00F264A1" w:rsidRDefault="00B817FF" w:rsidP="00B817FF">
      <w:pPr>
        <w:rPr>
          <w:b/>
          <w:sz w:val="22"/>
          <w:szCs w:val="22"/>
        </w:rPr>
      </w:pPr>
      <w:r w:rsidRPr="00F264A1">
        <w:rPr>
          <w:b/>
          <w:sz w:val="22"/>
          <w:szCs w:val="22"/>
        </w:rPr>
        <w:t>Soggetti che possono manifestare l’interesse</w:t>
      </w:r>
    </w:p>
    <w:p w:rsidR="00B817FF" w:rsidRPr="00F264A1" w:rsidRDefault="00B817FF" w:rsidP="00B817FF">
      <w:pPr>
        <w:jc w:val="both"/>
        <w:rPr>
          <w:sz w:val="22"/>
          <w:szCs w:val="22"/>
        </w:rPr>
      </w:pPr>
      <w:r w:rsidRPr="00F264A1">
        <w:rPr>
          <w:sz w:val="22"/>
          <w:szCs w:val="22"/>
        </w:rPr>
        <w:t>Possono manifestare l’interesse alla procedura di affidamento de</w:t>
      </w:r>
      <w:r>
        <w:rPr>
          <w:sz w:val="22"/>
          <w:szCs w:val="22"/>
        </w:rPr>
        <w:t>l</w:t>
      </w:r>
      <w:r w:rsidRPr="00F264A1">
        <w:rPr>
          <w:sz w:val="22"/>
          <w:szCs w:val="22"/>
        </w:rPr>
        <w:t xml:space="preserve"> serviz</w:t>
      </w:r>
      <w:r>
        <w:rPr>
          <w:sz w:val="22"/>
          <w:szCs w:val="22"/>
        </w:rPr>
        <w:t>io</w:t>
      </w:r>
      <w:r w:rsidRPr="00F264A1">
        <w:rPr>
          <w:sz w:val="22"/>
          <w:szCs w:val="22"/>
        </w:rPr>
        <w:t>, esclusivamente i soggetti di cui all'articolo 46, comma 1, lettere da a) ad f)</w:t>
      </w:r>
      <w:r w:rsidR="002C12C7">
        <w:rPr>
          <w:sz w:val="22"/>
          <w:szCs w:val="22"/>
        </w:rPr>
        <w:t xml:space="preserve"> del </w:t>
      </w:r>
      <w:proofErr w:type="spellStart"/>
      <w:r w:rsidR="002C12C7">
        <w:rPr>
          <w:sz w:val="22"/>
          <w:szCs w:val="22"/>
        </w:rPr>
        <w:t>D.lgs</w:t>
      </w:r>
      <w:proofErr w:type="spellEnd"/>
      <w:r w:rsidR="002C12C7">
        <w:rPr>
          <w:sz w:val="22"/>
          <w:szCs w:val="22"/>
        </w:rPr>
        <w:t xml:space="preserve"> 50/2016</w:t>
      </w:r>
      <w:r w:rsidRPr="00F264A1">
        <w:rPr>
          <w:sz w:val="22"/>
          <w:szCs w:val="22"/>
        </w:rPr>
        <w:t xml:space="preserve">, per i quali non ricorrono le cause di esclusione previste dall'articolo 80 del Codice, nonché </w:t>
      </w:r>
      <w:r w:rsidR="002C12C7">
        <w:rPr>
          <w:sz w:val="22"/>
          <w:szCs w:val="22"/>
        </w:rPr>
        <w:t>l’</w:t>
      </w:r>
      <w:r w:rsidRPr="00F264A1">
        <w:rPr>
          <w:sz w:val="22"/>
          <w:szCs w:val="22"/>
        </w:rPr>
        <w:t xml:space="preserve">insussistenza di qualsiasi altra situazione prevista dalla legge come causa di esclusione da gare d'appalto o come causa ostativa alla conclusione di contratti con la Pubblica Amministrazione e risultino in possesso dei requisiti di cui al </w:t>
      </w:r>
      <w:r>
        <w:rPr>
          <w:sz w:val="22"/>
          <w:szCs w:val="22"/>
        </w:rPr>
        <w:t>punto successivo</w:t>
      </w:r>
      <w:r w:rsidRPr="00F264A1">
        <w:rPr>
          <w:sz w:val="22"/>
          <w:szCs w:val="22"/>
        </w:rPr>
        <w:t>.</w:t>
      </w:r>
    </w:p>
    <w:p w:rsidR="00B817FF" w:rsidRDefault="00B817FF" w:rsidP="00B817FF">
      <w:pPr>
        <w:rPr>
          <w:sz w:val="22"/>
          <w:szCs w:val="22"/>
        </w:rPr>
      </w:pPr>
      <w:bookmarkStart w:id="0" w:name="_Toc278410668"/>
    </w:p>
    <w:p w:rsidR="00B817FF" w:rsidRPr="00F264A1" w:rsidRDefault="00B817FF" w:rsidP="00B817FF">
      <w:pPr>
        <w:rPr>
          <w:b/>
          <w:sz w:val="22"/>
          <w:szCs w:val="22"/>
        </w:rPr>
      </w:pPr>
      <w:r w:rsidRPr="00F264A1">
        <w:rPr>
          <w:b/>
          <w:sz w:val="22"/>
          <w:szCs w:val="22"/>
        </w:rPr>
        <w:t>Condizioni di partecipazione</w:t>
      </w:r>
      <w:bookmarkEnd w:id="0"/>
    </w:p>
    <w:p w:rsidR="00B817FF" w:rsidRPr="00F264A1" w:rsidRDefault="00B817FF" w:rsidP="00B817FF">
      <w:pPr>
        <w:jc w:val="both"/>
        <w:rPr>
          <w:sz w:val="22"/>
          <w:szCs w:val="22"/>
        </w:rPr>
      </w:pPr>
      <w:r w:rsidRPr="00F264A1">
        <w:rPr>
          <w:sz w:val="22"/>
          <w:szCs w:val="22"/>
        </w:rPr>
        <w:t>Non è ammessa la partecipazione di candidati per i quali sussistano le cause di esclusione di cui all’articolo 80 del Codice o qualsiasi altra situazione prevista dalla legge come causa di esclusione da gare d'appalto o come causa ostativa alla conclusione di contratti con la Pubblica Amministrazione e in caso di assenza dei requisiti di cui agli articoli 2, 3 e 4 del D.M. 2 dicembre 2016, n. 263 rispettivamente in caso di società professionali, di società di ingegneria e di raggruppamenti temporanei di professionisti.</w:t>
      </w:r>
    </w:p>
    <w:p w:rsidR="00B817FF" w:rsidRPr="00F264A1" w:rsidRDefault="00B817FF" w:rsidP="00B817FF">
      <w:pPr>
        <w:jc w:val="both"/>
        <w:rPr>
          <w:sz w:val="22"/>
          <w:szCs w:val="22"/>
        </w:rPr>
      </w:pPr>
    </w:p>
    <w:p w:rsidR="00B817FF" w:rsidRPr="00EC4CCD" w:rsidRDefault="00B817FF" w:rsidP="00B817FF">
      <w:pPr>
        <w:jc w:val="both"/>
        <w:rPr>
          <w:b/>
          <w:sz w:val="22"/>
          <w:szCs w:val="22"/>
        </w:rPr>
      </w:pPr>
      <w:r w:rsidRPr="00EC4CCD">
        <w:rPr>
          <w:b/>
          <w:sz w:val="22"/>
          <w:szCs w:val="22"/>
        </w:rPr>
        <w:t xml:space="preserve">l requisiti minimi di natura professionale sono: </w:t>
      </w:r>
      <w:r>
        <w:rPr>
          <w:b/>
          <w:sz w:val="22"/>
          <w:szCs w:val="22"/>
        </w:rPr>
        <w:t>professionista</w:t>
      </w:r>
      <w:r w:rsidRPr="00EC4CCD">
        <w:rPr>
          <w:b/>
          <w:sz w:val="22"/>
          <w:szCs w:val="22"/>
        </w:rPr>
        <w:t xml:space="preserve"> architetto</w:t>
      </w:r>
      <w:r>
        <w:rPr>
          <w:b/>
          <w:sz w:val="22"/>
          <w:szCs w:val="22"/>
        </w:rPr>
        <w:t xml:space="preserve"> o</w:t>
      </w:r>
      <w:r w:rsidRPr="00EC4CCD">
        <w:rPr>
          <w:b/>
          <w:sz w:val="22"/>
          <w:szCs w:val="22"/>
        </w:rPr>
        <w:t xml:space="preserve"> ingegnere, iscritti ai rispettivi Ordini o Albi professionali</w:t>
      </w:r>
      <w:r w:rsidR="00A063F4">
        <w:rPr>
          <w:b/>
          <w:sz w:val="22"/>
          <w:szCs w:val="22"/>
        </w:rPr>
        <w:t xml:space="preserve">, </w:t>
      </w:r>
      <w:r w:rsidR="00A063F4" w:rsidRPr="003021F8">
        <w:t xml:space="preserve">con iscrizione presso il </w:t>
      </w:r>
      <w:r w:rsidR="00A063F4">
        <w:t>c</w:t>
      </w:r>
      <w:r w:rsidR="00A063F4" w:rsidRPr="003021F8">
        <w:t>orrispondente ordine professionale da almeno dieci anni ai sensi dell’art. 216, comma 9, lett. a), del D.P.R. 5 ottobre 2010, n. 207</w:t>
      </w:r>
    </w:p>
    <w:p w:rsidR="00B817FF" w:rsidRPr="00F264A1" w:rsidRDefault="00B817FF" w:rsidP="00B817FF">
      <w:pPr>
        <w:jc w:val="both"/>
        <w:rPr>
          <w:sz w:val="22"/>
          <w:szCs w:val="22"/>
        </w:rPr>
      </w:pPr>
    </w:p>
    <w:p w:rsidR="00B817FF" w:rsidRPr="00EC4CCD" w:rsidRDefault="00B817FF" w:rsidP="00B817FF">
      <w:pPr>
        <w:jc w:val="both"/>
        <w:rPr>
          <w:b/>
          <w:sz w:val="22"/>
          <w:szCs w:val="22"/>
        </w:rPr>
      </w:pPr>
      <w:r w:rsidRPr="00EC4CCD">
        <w:rPr>
          <w:b/>
          <w:sz w:val="22"/>
          <w:szCs w:val="22"/>
        </w:rPr>
        <w:t>l requisiti minimi di capacità tecnica sono aver eseguito, servizi</w:t>
      </w:r>
      <w:r w:rsidRPr="00EC4CCD">
        <w:rPr>
          <w:b/>
          <w:color w:val="FF0000"/>
          <w:kern w:val="22"/>
          <w:position w:val="6"/>
          <w:sz w:val="22"/>
          <w:szCs w:val="22"/>
        </w:rPr>
        <w:footnoteReference w:id="1"/>
      </w:r>
      <w:r w:rsidRPr="00EC4CCD">
        <w:rPr>
          <w:b/>
          <w:sz w:val="22"/>
          <w:szCs w:val="22"/>
        </w:rPr>
        <w:t xml:space="preserve"> di architettura e ingegneria ai sensi dell’art. 3, lett. </w:t>
      </w:r>
      <w:proofErr w:type="spellStart"/>
      <w:r w:rsidRPr="00EC4CCD">
        <w:rPr>
          <w:b/>
          <w:sz w:val="22"/>
          <w:szCs w:val="22"/>
        </w:rPr>
        <w:t>vvvv</w:t>
      </w:r>
      <w:proofErr w:type="spellEnd"/>
      <w:r w:rsidRPr="00EC4CCD">
        <w:rPr>
          <w:b/>
          <w:sz w:val="22"/>
          <w:szCs w:val="22"/>
        </w:rPr>
        <w:t>) del  codice rientranti nel</w:t>
      </w:r>
      <w:r>
        <w:rPr>
          <w:b/>
          <w:sz w:val="22"/>
          <w:szCs w:val="22"/>
        </w:rPr>
        <w:t xml:space="preserve">le categorie di cui alla tabella “determina dei </w:t>
      </w:r>
      <w:r>
        <w:rPr>
          <w:b/>
          <w:sz w:val="22"/>
          <w:szCs w:val="22"/>
        </w:rPr>
        <w:lastRenderedPageBreak/>
        <w:t xml:space="preserve">corrispettivi” </w:t>
      </w:r>
      <w:r w:rsidRPr="00EC4CCD">
        <w:rPr>
          <w:b/>
          <w:sz w:val="22"/>
          <w:szCs w:val="22"/>
        </w:rPr>
        <w:t>per un importo complessivo di tali lavori non inferiore all'importo stimato dei lavori oggetto dell'incarico.</w:t>
      </w:r>
    </w:p>
    <w:p w:rsidR="00733FE5" w:rsidRPr="00733FE5" w:rsidRDefault="00733FE5" w:rsidP="00733FE5">
      <w:pPr>
        <w:ind w:left="720"/>
        <w:jc w:val="both"/>
        <w:rPr>
          <w:sz w:val="22"/>
          <w:szCs w:val="22"/>
        </w:rPr>
      </w:pPr>
    </w:p>
    <w:p w:rsidR="00651534" w:rsidRPr="00502988" w:rsidRDefault="00502988" w:rsidP="00502988">
      <w:pPr>
        <w:jc w:val="both"/>
        <w:rPr>
          <w:sz w:val="22"/>
          <w:szCs w:val="22"/>
          <w:u w:val="single"/>
        </w:rPr>
      </w:pPr>
      <w:r w:rsidRPr="00502988">
        <w:rPr>
          <w:sz w:val="22"/>
          <w:szCs w:val="22"/>
          <w:u w:val="single"/>
        </w:rPr>
        <w:t>Numero di operatori economici che saranno invitati:</w:t>
      </w:r>
    </w:p>
    <w:p w:rsidR="00502988" w:rsidRDefault="00502988" w:rsidP="00502988">
      <w:pPr>
        <w:jc w:val="both"/>
        <w:rPr>
          <w:sz w:val="22"/>
          <w:szCs w:val="22"/>
        </w:rPr>
      </w:pPr>
      <w:r>
        <w:rPr>
          <w:sz w:val="22"/>
          <w:szCs w:val="22"/>
        </w:rPr>
        <w:t xml:space="preserve">Il numero di operatori economici che saranno invitati alla procedura è pari a </w:t>
      </w:r>
      <w:r w:rsidR="00BB3FBA">
        <w:rPr>
          <w:sz w:val="22"/>
          <w:szCs w:val="22"/>
        </w:rPr>
        <w:t>20</w:t>
      </w:r>
    </w:p>
    <w:p w:rsidR="00502988" w:rsidRDefault="00502988" w:rsidP="00502988">
      <w:pPr>
        <w:jc w:val="both"/>
        <w:rPr>
          <w:sz w:val="22"/>
          <w:szCs w:val="22"/>
        </w:rPr>
      </w:pPr>
    </w:p>
    <w:p w:rsidR="00502988" w:rsidRDefault="00502988" w:rsidP="00502988">
      <w:pPr>
        <w:jc w:val="both"/>
        <w:rPr>
          <w:sz w:val="22"/>
          <w:szCs w:val="22"/>
        </w:rPr>
      </w:pPr>
      <w:r>
        <w:rPr>
          <w:sz w:val="22"/>
          <w:szCs w:val="22"/>
        </w:rPr>
        <w:t>Nel caso in cui le manif</w:t>
      </w:r>
      <w:r w:rsidR="00903E0A">
        <w:rPr>
          <w:sz w:val="22"/>
          <w:szCs w:val="22"/>
        </w:rPr>
        <w:t>estazioni d’interesse degli ope</w:t>
      </w:r>
      <w:r>
        <w:rPr>
          <w:sz w:val="22"/>
          <w:szCs w:val="22"/>
        </w:rPr>
        <w:t>r</w:t>
      </w:r>
      <w:r w:rsidR="00903E0A">
        <w:rPr>
          <w:sz w:val="22"/>
          <w:szCs w:val="22"/>
        </w:rPr>
        <w:t>a</w:t>
      </w:r>
      <w:r>
        <w:rPr>
          <w:sz w:val="22"/>
          <w:szCs w:val="22"/>
        </w:rPr>
        <w:t>tori economici siano in numero superiore a quello stabilito, il sistema Telematico effettuerà un sorteggio tra tutti gli operatori economici che hanno manifestato l’interesse</w:t>
      </w:r>
    </w:p>
    <w:p w:rsidR="00502988" w:rsidRDefault="00502988" w:rsidP="00502988">
      <w:pPr>
        <w:jc w:val="both"/>
        <w:rPr>
          <w:sz w:val="22"/>
          <w:szCs w:val="22"/>
        </w:rPr>
      </w:pPr>
    </w:p>
    <w:p w:rsidR="00502988" w:rsidRDefault="00502988" w:rsidP="00502988">
      <w:pPr>
        <w:jc w:val="both"/>
        <w:rPr>
          <w:b/>
          <w:sz w:val="22"/>
          <w:szCs w:val="22"/>
        </w:rPr>
      </w:pPr>
      <w:r w:rsidRPr="00685B83">
        <w:rPr>
          <w:b/>
          <w:sz w:val="22"/>
          <w:szCs w:val="22"/>
        </w:rPr>
        <w:t>Il termine per la presentazione delle manifestazioni di interesse è fissato per il giorno</w:t>
      </w:r>
      <w:r w:rsidR="00685B83">
        <w:rPr>
          <w:b/>
          <w:sz w:val="22"/>
          <w:szCs w:val="22"/>
        </w:rPr>
        <w:t xml:space="preserve"> 27 ottobre 2017</w:t>
      </w:r>
      <w:r w:rsidRPr="00685B83">
        <w:rPr>
          <w:b/>
          <w:sz w:val="22"/>
          <w:szCs w:val="22"/>
        </w:rPr>
        <w:t xml:space="preserve"> </w:t>
      </w:r>
      <w:r w:rsidR="00E75F93" w:rsidRPr="00685B83">
        <w:rPr>
          <w:b/>
          <w:sz w:val="22"/>
          <w:szCs w:val="22"/>
        </w:rPr>
        <w:t>e</w:t>
      </w:r>
      <w:r w:rsidRPr="00685B83">
        <w:rPr>
          <w:b/>
          <w:sz w:val="22"/>
          <w:szCs w:val="22"/>
        </w:rPr>
        <w:t xml:space="preserve">ntro le ore </w:t>
      </w:r>
      <w:r w:rsidR="00685B83">
        <w:rPr>
          <w:b/>
          <w:sz w:val="22"/>
          <w:szCs w:val="22"/>
        </w:rPr>
        <w:t>12:30.</w:t>
      </w:r>
    </w:p>
    <w:p w:rsidR="00685B83" w:rsidRDefault="00685B83" w:rsidP="00502988">
      <w:pPr>
        <w:jc w:val="both"/>
        <w:rPr>
          <w:b/>
          <w:sz w:val="22"/>
          <w:szCs w:val="22"/>
        </w:rPr>
      </w:pPr>
    </w:p>
    <w:p w:rsidR="00502988" w:rsidRDefault="00502988" w:rsidP="00502988">
      <w:pPr>
        <w:jc w:val="both"/>
        <w:rPr>
          <w:b/>
          <w:sz w:val="22"/>
          <w:szCs w:val="22"/>
        </w:rPr>
      </w:pPr>
      <w:r>
        <w:rPr>
          <w:b/>
          <w:sz w:val="22"/>
          <w:szCs w:val="22"/>
        </w:rPr>
        <w:t>La data di effettuazione del sorteggio pubblico verrà comunicata agli operatori economici che hanno presentato manifestazione d’interesse, successivamente alla scadenza del termine per la presentazione delle manifestazioni d’interesse, tramite la piattaforma telematica START</w:t>
      </w:r>
    </w:p>
    <w:p w:rsidR="00502988" w:rsidRDefault="00502988" w:rsidP="00502988">
      <w:pPr>
        <w:jc w:val="both"/>
        <w:rPr>
          <w:b/>
          <w:sz w:val="22"/>
          <w:szCs w:val="22"/>
        </w:rPr>
      </w:pPr>
    </w:p>
    <w:p w:rsidR="00502988" w:rsidRPr="00502988" w:rsidRDefault="00502988" w:rsidP="00502988">
      <w:pPr>
        <w:jc w:val="both"/>
        <w:rPr>
          <w:sz w:val="22"/>
          <w:szCs w:val="22"/>
        </w:rPr>
      </w:pPr>
      <w:r>
        <w:rPr>
          <w:sz w:val="22"/>
          <w:szCs w:val="22"/>
        </w:rPr>
        <w:t>Le manifestazioni di interesse da parte degli operatori economici devono esclusivamente pervenire entro la sopraindicata data in modalità telematica attraverso il Sistema Telematico Acquisti Regione Toscana – (START), utilizzando le apposite funzionalità</w:t>
      </w:r>
      <w:r w:rsidR="000322D2">
        <w:rPr>
          <w:sz w:val="22"/>
          <w:szCs w:val="22"/>
        </w:rPr>
        <w:t xml:space="preserve"> rese disponibili al seguente indirizzo internet: </w:t>
      </w:r>
      <w:r w:rsidR="000322D2" w:rsidRPr="000322D2">
        <w:rPr>
          <w:b/>
          <w:sz w:val="22"/>
          <w:szCs w:val="22"/>
        </w:rPr>
        <w:t>https://start.toscana.it/</w:t>
      </w:r>
    </w:p>
    <w:p w:rsidR="00EF0E6F" w:rsidRPr="00B708E1" w:rsidRDefault="00EF0E6F" w:rsidP="002324D2">
      <w:pPr>
        <w:jc w:val="both"/>
        <w:rPr>
          <w:sz w:val="22"/>
          <w:szCs w:val="22"/>
        </w:rPr>
      </w:pPr>
    </w:p>
    <w:p w:rsidR="000322D2" w:rsidRDefault="000322D2" w:rsidP="002324D2">
      <w:pPr>
        <w:jc w:val="both"/>
        <w:rPr>
          <w:sz w:val="22"/>
          <w:szCs w:val="22"/>
        </w:rPr>
      </w:pPr>
      <w:r>
        <w:rPr>
          <w:sz w:val="22"/>
          <w:szCs w:val="22"/>
        </w:rPr>
        <w:t>Per poter manifestare l’interesse a partecipare:</w:t>
      </w:r>
    </w:p>
    <w:p w:rsidR="000322D2" w:rsidRDefault="000322D2" w:rsidP="002324D2">
      <w:pPr>
        <w:jc w:val="both"/>
        <w:rPr>
          <w:sz w:val="22"/>
          <w:szCs w:val="22"/>
        </w:rPr>
      </w:pPr>
      <w:r>
        <w:rPr>
          <w:sz w:val="22"/>
          <w:szCs w:val="22"/>
        </w:rPr>
        <w:t>gli operatori economici già iscritti nell’indirizzario fornitori di Start dovranno accedere all’area riservata relativa all’avviso in oggetto e utilizzare l’apposita funzione presente sul sistema;</w:t>
      </w:r>
    </w:p>
    <w:p w:rsidR="000322D2" w:rsidRDefault="000322D2" w:rsidP="002324D2">
      <w:pPr>
        <w:jc w:val="both"/>
        <w:rPr>
          <w:sz w:val="22"/>
          <w:szCs w:val="22"/>
        </w:rPr>
      </w:pPr>
      <w:r>
        <w:rPr>
          <w:sz w:val="22"/>
          <w:szCs w:val="22"/>
        </w:rPr>
        <w:t xml:space="preserve">gli operatori economici non iscritti all’indirizzario fornitori di Start dovranno compilare il </w:t>
      </w:r>
      <w:proofErr w:type="spellStart"/>
      <w:r>
        <w:rPr>
          <w:sz w:val="22"/>
          <w:szCs w:val="22"/>
        </w:rPr>
        <w:t>form</w:t>
      </w:r>
      <w:proofErr w:type="spellEnd"/>
      <w:r>
        <w:rPr>
          <w:sz w:val="22"/>
          <w:szCs w:val="22"/>
        </w:rPr>
        <w:t xml:space="preserve"> telematico presente nella pagina contenente il dettaglio relativo all’avviso in oggetto.</w:t>
      </w:r>
    </w:p>
    <w:p w:rsidR="000322D2" w:rsidRDefault="000322D2" w:rsidP="002324D2">
      <w:pPr>
        <w:jc w:val="both"/>
        <w:rPr>
          <w:sz w:val="22"/>
          <w:szCs w:val="22"/>
        </w:rPr>
      </w:pPr>
    </w:p>
    <w:p w:rsidR="000322D2" w:rsidRDefault="000322D2" w:rsidP="002324D2">
      <w:pPr>
        <w:jc w:val="both"/>
        <w:rPr>
          <w:sz w:val="22"/>
          <w:szCs w:val="22"/>
        </w:rPr>
      </w:pPr>
      <w:r>
        <w:rPr>
          <w:sz w:val="22"/>
          <w:szCs w:val="22"/>
        </w:rPr>
        <w:t xml:space="preserve">La manifestazione di interesse dovrà essere presentata dall’operatore economico utilizzando l’apposito modello denominato “manifestazione di interesse”, disponibile nella documentazione </w:t>
      </w:r>
      <w:r w:rsidR="00685B83">
        <w:rPr>
          <w:sz w:val="22"/>
          <w:szCs w:val="22"/>
        </w:rPr>
        <w:t>della procedura,</w:t>
      </w:r>
      <w:r>
        <w:rPr>
          <w:sz w:val="22"/>
          <w:szCs w:val="22"/>
        </w:rPr>
        <w:t xml:space="preserve"> allegata all’avviso in oggetto.</w:t>
      </w:r>
    </w:p>
    <w:p w:rsidR="000322D2" w:rsidRDefault="000322D2" w:rsidP="002324D2">
      <w:pPr>
        <w:jc w:val="both"/>
        <w:rPr>
          <w:sz w:val="22"/>
          <w:szCs w:val="22"/>
        </w:rPr>
      </w:pPr>
    </w:p>
    <w:p w:rsidR="000322D2" w:rsidRDefault="000322D2" w:rsidP="002324D2">
      <w:pPr>
        <w:jc w:val="both"/>
        <w:rPr>
          <w:sz w:val="22"/>
          <w:szCs w:val="22"/>
        </w:rPr>
      </w:pPr>
      <w:r>
        <w:rPr>
          <w:sz w:val="22"/>
          <w:szCs w:val="22"/>
        </w:rPr>
        <w:t>L’operatore economico che presenta la manifestazione d’interesse dovrà essere in possesso dei requisiti minimi di capacità richiesti dal presente avviso, dichiarando, nel modello “manifestazione d’interesse”, di essere in possesso di tali requisiti di capacità.</w:t>
      </w:r>
    </w:p>
    <w:p w:rsidR="000322D2" w:rsidRDefault="000322D2" w:rsidP="002324D2">
      <w:pPr>
        <w:jc w:val="both"/>
        <w:rPr>
          <w:sz w:val="22"/>
          <w:szCs w:val="22"/>
        </w:rPr>
      </w:pPr>
    </w:p>
    <w:p w:rsidR="000322D2" w:rsidRDefault="000322D2" w:rsidP="002324D2">
      <w:pPr>
        <w:jc w:val="both"/>
        <w:rPr>
          <w:sz w:val="22"/>
          <w:szCs w:val="22"/>
        </w:rPr>
      </w:pPr>
      <w:r>
        <w:rPr>
          <w:sz w:val="22"/>
          <w:szCs w:val="22"/>
        </w:rPr>
        <w:t>Il modello “manifestazione d’interesse”, debitamente compilato, dovrà essere firmato digitalmente dal titolare o legale rappresentante o procuratore dell’operatore economico che presenta la manifestazione d’interesse e che rende le dichiarazioni ivi contenute</w:t>
      </w:r>
    </w:p>
    <w:p w:rsidR="000322D2" w:rsidRDefault="000322D2" w:rsidP="002324D2">
      <w:pPr>
        <w:jc w:val="both"/>
        <w:rPr>
          <w:sz w:val="22"/>
          <w:szCs w:val="22"/>
        </w:rPr>
      </w:pPr>
    </w:p>
    <w:p w:rsidR="00BE07A2" w:rsidRPr="00E75F93" w:rsidRDefault="00BE07A2" w:rsidP="00BE07A2">
      <w:pPr>
        <w:jc w:val="both"/>
        <w:rPr>
          <w:rFonts w:eastAsia="Calibri"/>
          <w:sz w:val="22"/>
          <w:szCs w:val="22"/>
        </w:rPr>
      </w:pPr>
      <w:r w:rsidRPr="00E75F93">
        <w:rPr>
          <w:rFonts w:eastAsia="Calibri"/>
          <w:sz w:val="22"/>
          <w:szCs w:val="22"/>
        </w:rPr>
        <w:t>Ove, invece, l’operatore economico non sia autonomamente in possesso dei requisiti minimi di capacità previsti dal presente avviso, dovrà dichiarare, alternativamente, nel modello “Manifestazione d’interesse”:</w:t>
      </w:r>
    </w:p>
    <w:p w:rsidR="00BE07A2" w:rsidRPr="00E75F93" w:rsidRDefault="00BE07A2" w:rsidP="00BE07A2">
      <w:pPr>
        <w:jc w:val="both"/>
        <w:rPr>
          <w:rFonts w:eastAsia="Calibri"/>
          <w:sz w:val="22"/>
          <w:szCs w:val="22"/>
        </w:rPr>
      </w:pPr>
      <w:r w:rsidRPr="00E75F93">
        <w:rPr>
          <w:rFonts w:eastAsia="Calibri"/>
          <w:sz w:val="22"/>
          <w:szCs w:val="22"/>
        </w:rPr>
        <w:lastRenderedPageBreak/>
        <w:t>- di soddisfare i requisiti minimi di capacità avvalendosi dei requisiti di altro operatore/altri operatori, e il modello dovrà essere firmato digitalmente (dai soggetti sopra indicati) sia</w:t>
      </w:r>
    </w:p>
    <w:p w:rsidR="00BE07A2" w:rsidRPr="00E75F93" w:rsidRDefault="00BE07A2" w:rsidP="00BE07A2">
      <w:pPr>
        <w:jc w:val="both"/>
        <w:rPr>
          <w:rFonts w:eastAsia="Calibri"/>
          <w:sz w:val="22"/>
          <w:szCs w:val="22"/>
        </w:rPr>
      </w:pPr>
      <w:r w:rsidRPr="00E75F93">
        <w:rPr>
          <w:rFonts w:eastAsia="Calibri"/>
          <w:sz w:val="22"/>
          <w:szCs w:val="22"/>
        </w:rPr>
        <w:t>dall’operatore economico che manifesta interesse sia dal soggetto/dai soggetti ausiliario/i;</w:t>
      </w:r>
    </w:p>
    <w:p w:rsidR="000322D2" w:rsidRPr="00E75F93" w:rsidRDefault="00BE07A2" w:rsidP="00BE07A2">
      <w:pPr>
        <w:jc w:val="both"/>
        <w:rPr>
          <w:rFonts w:eastAsia="Calibri"/>
          <w:sz w:val="22"/>
          <w:szCs w:val="22"/>
        </w:rPr>
      </w:pPr>
      <w:r w:rsidRPr="00E75F93">
        <w:rPr>
          <w:rFonts w:eastAsia="Calibri"/>
          <w:sz w:val="22"/>
          <w:szCs w:val="22"/>
        </w:rPr>
        <w:t>- di soddisfare i requisiti minimi di capacità presentando offerta quale mandatario di raggruppamento temporaneo di imprese costituendo o costituito, e il modello dovrà essere firmato digitalmente (dai soggetti sopra indicati) da tutti gli operatori economici che compongono il raggruppamento temporaneo costituendo o costituito.</w:t>
      </w:r>
    </w:p>
    <w:p w:rsidR="000322D2" w:rsidRPr="00BE07A2" w:rsidRDefault="000322D2" w:rsidP="00BE07A2">
      <w:pPr>
        <w:jc w:val="both"/>
        <w:rPr>
          <w:sz w:val="22"/>
          <w:szCs w:val="22"/>
        </w:rPr>
      </w:pPr>
    </w:p>
    <w:p w:rsidR="00BE07A2" w:rsidRPr="00BE07A2" w:rsidRDefault="00BE07A2" w:rsidP="00BE07A2">
      <w:pPr>
        <w:jc w:val="both"/>
        <w:rPr>
          <w:rFonts w:eastAsia="Calibri"/>
          <w:sz w:val="22"/>
          <w:szCs w:val="22"/>
        </w:rPr>
      </w:pPr>
      <w:r w:rsidRPr="00BE07A2">
        <w:rPr>
          <w:rFonts w:eastAsia="Calibri"/>
          <w:sz w:val="22"/>
          <w:szCs w:val="22"/>
        </w:rPr>
        <w:t>In tutte le ipotesi sopra indicate, il modello “Manifestazione d’interesse”dovrà essere inserito</w:t>
      </w:r>
      <w:r>
        <w:rPr>
          <w:rFonts w:eastAsia="Calibri"/>
          <w:sz w:val="22"/>
          <w:szCs w:val="22"/>
        </w:rPr>
        <w:t xml:space="preserve"> </w:t>
      </w:r>
      <w:r w:rsidRPr="00BE07A2">
        <w:rPr>
          <w:rFonts w:eastAsia="Calibri"/>
          <w:sz w:val="22"/>
          <w:szCs w:val="22"/>
        </w:rPr>
        <w:t>nell’apposito spazio predisposto sul sistema telematico.</w:t>
      </w:r>
    </w:p>
    <w:p w:rsidR="00BE07A2" w:rsidRDefault="00BE07A2" w:rsidP="00BE07A2">
      <w:pPr>
        <w:jc w:val="both"/>
        <w:rPr>
          <w:rFonts w:eastAsia="Calibri"/>
          <w:sz w:val="22"/>
          <w:szCs w:val="22"/>
        </w:rPr>
      </w:pPr>
    </w:p>
    <w:p w:rsidR="00BE07A2" w:rsidRPr="00BE07A2" w:rsidRDefault="00BE07A2" w:rsidP="00BE07A2">
      <w:pPr>
        <w:jc w:val="both"/>
        <w:rPr>
          <w:rFonts w:eastAsia="Calibri"/>
          <w:b/>
          <w:sz w:val="22"/>
          <w:szCs w:val="22"/>
        </w:rPr>
      </w:pPr>
      <w:r w:rsidRPr="00BE07A2">
        <w:rPr>
          <w:rFonts w:eastAsia="Calibri"/>
          <w:b/>
          <w:sz w:val="22"/>
          <w:szCs w:val="22"/>
        </w:rPr>
        <w:t>Si ricorda, in ogni caso, che, ove l’operatore economico che manifesta interesse non possieda i requisiti minimi di capacità autonomamente e, quindi, effettui la manifestazione d’interesse mediante ricorso all’</w:t>
      </w:r>
      <w:proofErr w:type="spellStart"/>
      <w:r w:rsidRPr="00BE07A2">
        <w:rPr>
          <w:rFonts w:eastAsia="Calibri"/>
          <w:b/>
          <w:sz w:val="22"/>
          <w:szCs w:val="22"/>
        </w:rPr>
        <w:t>avvalimento</w:t>
      </w:r>
      <w:proofErr w:type="spellEnd"/>
      <w:r w:rsidRPr="00BE07A2">
        <w:rPr>
          <w:rFonts w:eastAsia="Calibri"/>
          <w:b/>
          <w:sz w:val="22"/>
          <w:szCs w:val="22"/>
        </w:rPr>
        <w:t xml:space="preserve"> di altri operatori economici o, eventualmente, mediante raggruppamento temporaneo di imprese costituendo o costituito, l’operatore economico/gli operatori economici indicati come ausiliario/i e/o gli operatori economici indicati come mandanti devono, </w:t>
      </w:r>
      <w:r w:rsidRPr="00BE07A2">
        <w:rPr>
          <w:rFonts w:eastAsia="Calibri"/>
          <w:b/>
          <w:sz w:val="22"/>
          <w:szCs w:val="22"/>
          <w:u w:val="single"/>
        </w:rPr>
        <w:t>a pena di non ammissione alla successiva fase gara</w:t>
      </w:r>
      <w:r w:rsidRPr="00BE07A2">
        <w:rPr>
          <w:rFonts w:eastAsia="Calibri"/>
          <w:b/>
          <w:sz w:val="22"/>
          <w:szCs w:val="22"/>
        </w:rPr>
        <w:t>, rimanere i medesimi.</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L’Amministrazione non prenderà in considerazione le manifestazioni d’interesse presentate nel caso</w:t>
      </w:r>
      <w:r w:rsidR="00C87B29">
        <w:rPr>
          <w:rFonts w:eastAsia="Calibri"/>
          <w:sz w:val="22"/>
          <w:szCs w:val="22"/>
        </w:rPr>
        <w:t xml:space="preserve"> </w:t>
      </w:r>
      <w:r w:rsidRPr="00BE07A2">
        <w:rPr>
          <w:rFonts w:eastAsia="Calibri"/>
          <w:sz w:val="22"/>
          <w:szCs w:val="22"/>
        </w:rPr>
        <w:t>in cui il modello “Manifestazione di interesse”:</w:t>
      </w:r>
    </w:p>
    <w:p w:rsidR="00BE07A2" w:rsidRPr="00BE07A2" w:rsidRDefault="00BE07A2" w:rsidP="00BE07A2">
      <w:pPr>
        <w:jc w:val="both"/>
        <w:rPr>
          <w:rFonts w:eastAsia="Calibri"/>
          <w:sz w:val="22"/>
          <w:szCs w:val="22"/>
        </w:rPr>
      </w:pPr>
      <w:r w:rsidRPr="00BE07A2">
        <w:rPr>
          <w:rFonts w:eastAsia="Calibri"/>
          <w:sz w:val="22"/>
          <w:szCs w:val="22"/>
        </w:rPr>
        <w:t>- manchi;</w:t>
      </w:r>
    </w:p>
    <w:p w:rsidR="00BE07A2" w:rsidRPr="00BE07A2" w:rsidRDefault="00BE07A2" w:rsidP="00BE07A2">
      <w:pPr>
        <w:jc w:val="both"/>
        <w:rPr>
          <w:rFonts w:eastAsia="Calibri"/>
          <w:sz w:val="22"/>
          <w:szCs w:val="22"/>
        </w:rPr>
      </w:pPr>
      <w:r w:rsidRPr="00BE07A2">
        <w:rPr>
          <w:rFonts w:eastAsia="Calibri"/>
          <w:sz w:val="22"/>
          <w:szCs w:val="22"/>
        </w:rPr>
        <w:t>- non sia firmato digitalmente;</w:t>
      </w:r>
    </w:p>
    <w:p w:rsidR="00BE07A2" w:rsidRPr="00BE07A2" w:rsidRDefault="00BE07A2" w:rsidP="00BE07A2">
      <w:pPr>
        <w:jc w:val="both"/>
        <w:rPr>
          <w:rFonts w:eastAsia="Calibri"/>
          <w:sz w:val="22"/>
          <w:szCs w:val="22"/>
        </w:rPr>
      </w:pPr>
      <w:r w:rsidRPr="00BE07A2">
        <w:rPr>
          <w:rFonts w:eastAsia="Calibri"/>
          <w:sz w:val="22"/>
          <w:szCs w:val="22"/>
        </w:rPr>
        <w:t>- sia firmato digitalmente da una persona che non risulti dal modello stesso munita del potere di</w:t>
      </w:r>
      <w:r w:rsidR="00C87B29">
        <w:rPr>
          <w:rFonts w:eastAsia="Calibri"/>
          <w:sz w:val="22"/>
          <w:szCs w:val="22"/>
        </w:rPr>
        <w:t xml:space="preserve"> </w:t>
      </w:r>
      <w:r w:rsidRPr="00BE07A2">
        <w:rPr>
          <w:rFonts w:eastAsia="Calibri"/>
          <w:sz w:val="22"/>
          <w:szCs w:val="22"/>
        </w:rPr>
        <w:t>rappresentare il soggetto che presenta manifestazione di interesse;</w:t>
      </w:r>
    </w:p>
    <w:p w:rsidR="00BE07A2" w:rsidRPr="00BE07A2" w:rsidRDefault="00BE07A2" w:rsidP="00BE07A2">
      <w:pPr>
        <w:jc w:val="both"/>
        <w:rPr>
          <w:rFonts w:eastAsia="Calibri"/>
          <w:sz w:val="22"/>
          <w:szCs w:val="22"/>
        </w:rPr>
      </w:pPr>
      <w:r w:rsidRPr="00BE07A2">
        <w:rPr>
          <w:rFonts w:eastAsia="Calibri"/>
          <w:sz w:val="22"/>
          <w:szCs w:val="22"/>
        </w:rPr>
        <w:t>- sia firmato digitalmente da persona diversa rispetto alla persona dichiarante, anche se entrambi</w:t>
      </w:r>
      <w:r w:rsidR="00C87B29">
        <w:rPr>
          <w:rFonts w:eastAsia="Calibri"/>
          <w:sz w:val="22"/>
          <w:szCs w:val="22"/>
        </w:rPr>
        <w:t xml:space="preserve"> </w:t>
      </w:r>
      <w:r w:rsidRPr="00BE07A2">
        <w:rPr>
          <w:rFonts w:eastAsia="Calibri"/>
          <w:sz w:val="22"/>
          <w:szCs w:val="22"/>
        </w:rPr>
        <w:t>muniti del potere di rappresentare il soggetto che presenta manifestazione di interesse;</w:t>
      </w:r>
    </w:p>
    <w:p w:rsidR="00BE07A2" w:rsidRPr="00BE07A2" w:rsidRDefault="00BE07A2" w:rsidP="00BE07A2">
      <w:pPr>
        <w:jc w:val="both"/>
        <w:rPr>
          <w:rFonts w:eastAsia="Calibri"/>
          <w:sz w:val="22"/>
          <w:szCs w:val="22"/>
        </w:rPr>
      </w:pPr>
      <w:r w:rsidRPr="00BE07A2">
        <w:rPr>
          <w:rFonts w:eastAsia="Calibri"/>
          <w:sz w:val="22"/>
          <w:szCs w:val="22"/>
        </w:rPr>
        <w:t>- risulti priva anche di una sola delle dichiarazioni contenute nell’apposito modello.</w:t>
      </w:r>
    </w:p>
    <w:p w:rsidR="00BE07A2" w:rsidRPr="00BE07A2" w:rsidRDefault="00BE07A2" w:rsidP="00BE07A2">
      <w:pPr>
        <w:jc w:val="both"/>
        <w:rPr>
          <w:rFonts w:eastAsia="Calibri"/>
          <w:sz w:val="22"/>
          <w:szCs w:val="22"/>
        </w:rPr>
      </w:pPr>
      <w:r w:rsidRPr="00BE07A2">
        <w:rPr>
          <w:rFonts w:eastAsia="Calibri"/>
          <w:sz w:val="22"/>
          <w:szCs w:val="22"/>
        </w:rPr>
        <w:t>- non sia firmato digitalmente anche dall’operatore economico ausiliario/da tutti gli operatori</w:t>
      </w:r>
      <w:r w:rsidR="00C87B29">
        <w:rPr>
          <w:rFonts w:eastAsia="Calibri"/>
          <w:sz w:val="22"/>
          <w:szCs w:val="22"/>
        </w:rPr>
        <w:t xml:space="preserve"> </w:t>
      </w:r>
      <w:r w:rsidRPr="00BE07A2">
        <w:rPr>
          <w:rFonts w:eastAsia="Calibri"/>
          <w:sz w:val="22"/>
          <w:szCs w:val="22"/>
        </w:rPr>
        <w:t>economici ausiliari indicati nel modello;</w:t>
      </w:r>
    </w:p>
    <w:p w:rsidR="00BE07A2" w:rsidRPr="00BE07A2" w:rsidRDefault="00BE07A2" w:rsidP="00BE07A2">
      <w:pPr>
        <w:jc w:val="both"/>
        <w:rPr>
          <w:rFonts w:eastAsia="Calibri"/>
          <w:sz w:val="22"/>
          <w:szCs w:val="22"/>
        </w:rPr>
      </w:pPr>
      <w:r w:rsidRPr="00BE07A2">
        <w:rPr>
          <w:rFonts w:eastAsia="Calibri"/>
          <w:sz w:val="22"/>
          <w:szCs w:val="22"/>
        </w:rPr>
        <w:t>- non sia firmato digitalmente da tutti gli operatori economici che compongono il raggruppamento</w:t>
      </w:r>
      <w:r w:rsidR="00C87B29">
        <w:rPr>
          <w:rFonts w:eastAsia="Calibri"/>
          <w:sz w:val="22"/>
          <w:szCs w:val="22"/>
        </w:rPr>
        <w:t xml:space="preserve"> </w:t>
      </w:r>
      <w:r w:rsidRPr="00BE07A2">
        <w:rPr>
          <w:rFonts w:eastAsia="Calibri"/>
          <w:sz w:val="22"/>
          <w:szCs w:val="22"/>
        </w:rPr>
        <w:t>temporaneo di imprese costituendo o costituito indicati nel modello</w:t>
      </w:r>
    </w:p>
    <w:p w:rsidR="00BE07A2" w:rsidRP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Nessuna irregolarità, mancanza o incompletezza nelle dichiarazioni del modello “Manifestazione di</w:t>
      </w:r>
      <w:r>
        <w:rPr>
          <w:rFonts w:eastAsia="Calibri"/>
          <w:sz w:val="22"/>
          <w:szCs w:val="22"/>
        </w:rPr>
        <w:t xml:space="preserve"> </w:t>
      </w:r>
      <w:r w:rsidRPr="00BE07A2">
        <w:rPr>
          <w:rFonts w:eastAsia="Calibri"/>
          <w:sz w:val="22"/>
          <w:szCs w:val="22"/>
        </w:rPr>
        <w:t>interesse” potrà essere sanata con il procedimento del soccorso istruttorio di cui all’art. 83, comma</w:t>
      </w:r>
      <w:r>
        <w:rPr>
          <w:rFonts w:eastAsia="Calibri"/>
          <w:sz w:val="22"/>
          <w:szCs w:val="22"/>
        </w:rPr>
        <w:t xml:space="preserve"> </w:t>
      </w:r>
      <w:r w:rsidRPr="00BE07A2">
        <w:rPr>
          <w:rFonts w:eastAsia="Calibri"/>
          <w:sz w:val="22"/>
          <w:szCs w:val="22"/>
        </w:rPr>
        <w:t xml:space="preserve">9, del </w:t>
      </w:r>
      <w:proofErr w:type="spellStart"/>
      <w:r w:rsidRPr="00BE07A2">
        <w:rPr>
          <w:rFonts w:eastAsia="Calibri"/>
          <w:sz w:val="22"/>
          <w:szCs w:val="22"/>
        </w:rPr>
        <w:t>D.Lgs.</w:t>
      </w:r>
      <w:proofErr w:type="spellEnd"/>
      <w:r w:rsidRPr="00BE07A2">
        <w:rPr>
          <w:rFonts w:eastAsia="Calibri"/>
          <w:sz w:val="22"/>
          <w:szCs w:val="22"/>
        </w:rPr>
        <w:t xml:space="preserve"> n. 50/2016 che non è applicabile alla fase della manifestazione d’interesse.</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L’operatore economico, dopo aver manifestato interesse, riceverà una comunicazione di conferma</w:t>
      </w:r>
      <w:r>
        <w:rPr>
          <w:rFonts w:eastAsia="Calibri"/>
          <w:sz w:val="22"/>
          <w:szCs w:val="22"/>
        </w:rPr>
        <w:t xml:space="preserve"> </w:t>
      </w:r>
      <w:r w:rsidRPr="00BE07A2">
        <w:rPr>
          <w:rFonts w:eastAsia="Calibri"/>
          <w:sz w:val="22"/>
          <w:szCs w:val="22"/>
        </w:rPr>
        <w:t>attraverso il sistema START all’indirizzo di posta elettronica indicato in sede di registrazione.</w:t>
      </w:r>
      <w:r>
        <w:rPr>
          <w:rFonts w:eastAsia="Calibri"/>
          <w:sz w:val="22"/>
          <w:szCs w:val="22"/>
        </w:rPr>
        <w:t xml:space="preserve"> </w:t>
      </w:r>
      <w:r w:rsidRPr="00BE07A2">
        <w:rPr>
          <w:rFonts w:eastAsia="Calibri"/>
          <w:sz w:val="22"/>
          <w:szCs w:val="22"/>
        </w:rPr>
        <w:t>Si fa presente che l’operatore economico che ha fatto pervenire la manifestazione di interesse a</w:t>
      </w:r>
      <w:r>
        <w:rPr>
          <w:rFonts w:eastAsia="Calibri"/>
          <w:sz w:val="22"/>
          <w:szCs w:val="22"/>
        </w:rPr>
        <w:t xml:space="preserve"> </w:t>
      </w:r>
      <w:r w:rsidRPr="00BE07A2">
        <w:rPr>
          <w:rFonts w:eastAsia="Calibri"/>
          <w:sz w:val="22"/>
          <w:szCs w:val="22"/>
        </w:rPr>
        <w:t xml:space="preserve">seguito del presente avviso avrà la facoltà, ai sensi dell’art. 48, comma 11, del D. </w:t>
      </w:r>
      <w:proofErr w:type="spellStart"/>
      <w:r w:rsidRPr="00BE07A2">
        <w:rPr>
          <w:rFonts w:eastAsia="Calibri"/>
          <w:sz w:val="22"/>
          <w:szCs w:val="22"/>
        </w:rPr>
        <w:t>Lgs</w:t>
      </w:r>
      <w:proofErr w:type="spellEnd"/>
      <w:r w:rsidRPr="00BE07A2">
        <w:rPr>
          <w:rFonts w:eastAsia="Calibri"/>
          <w:sz w:val="22"/>
          <w:szCs w:val="22"/>
        </w:rPr>
        <w:t xml:space="preserve"> n. 50/2016, di</w:t>
      </w:r>
      <w:r>
        <w:rPr>
          <w:rFonts w:eastAsia="Calibri"/>
          <w:sz w:val="22"/>
          <w:szCs w:val="22"/>
        </w:rPr>
        <w:t xml:space="preserve"> </w:t>
      </w:r>
      <w:r w:rsidRPr="00BE07A2">
        <w:rPr>
          <w:rFonts w:eastAsia="Calibri"/>
          <w:sz w:val="22"/>
          <w:szCs w:val="22"/>
        </w:rPr>
        <w:t>presentare offerta per sé o quale mandatario di operatori riuniti secondo le modalità che saranno</w:t>
      </w:r>
      <w:r>
        <w:rPr>
          <w:rFonts w:eastAsia="Calibri"/>
          <w:sz w:val="22"/>
          <w:szCs w:val="22"/>
        </w:rPr>
        <w:t xml:space="preserve"> </w:t>
      </w:r>
      <w:r w:rsidRPr="00BE07A2">
        <w:rPr>
          <w:rFonts w:eastAsia="Calibri"/>
          <w:sz w:val="22"/>
          <w:szCs w:val="22"/>
        </w:rPr>
        <w:t>indicate nella lettera di invito.</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La lettera di invito a presentare offerta verrà inviata da parte dell'Amministrazione esclusivamente</w:t>
      </w:r>
      <w:r>
        <w:rPr>
          <w:rFonts w:eastAsia="Calibri"/>
          <w:sz w:val="22"/>
          <w:szCs w:val="22"/>
        </w:rPr>
        <w:t xml:space="preserve"> </w:t>
      </w:r>
      <w:r w:rsidRPr="00BE07A2">
        <w:rPr>
          <w:rFonts w:eastAsia="Calibri"/>
          <w:sz w:val="22"/>
          <w:szCs w:val="22"/>
        </w:rPr>
        <w:t>alla casella di posta elettronica indicata dall’operatore economico e, inoltre, sarà disponibile su</w:t>
      </w:r>
      <w:r>
        <w:rPr>
          <w:rFonts w:eastAsia="Calibri"/>
          <w:sz w:val="22"/>
          <w:szCs w:val="22"/>
        </w:rPr>
        <w:t xml:space="preserve"> </w:t>
      </w:r>
      <w:r w:rsidRPr="00BE07A2">
        <w:rPr>
          <w:rFonts w:eastAsia="Calibri"/>
          <w:sz w:val="22"/>
          <w:szCs w:val="22"/>
        </w:rPr>
        <w:t>START nell’area riservata all’appalto in oggetto.</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L’appalto si svolgerà in modalità telematica: la documentazione amministrativa e le offerte dovranno</w:t>
      </w:r>
      <w:r>
        <w:rPr>
          <w:rFonts w:eastAsia="Calibri"/>
          <w:sz w:val="22"/>
          <w:szCs w:val="22"/>
        </w:rPr>
        <w:t xml:space="preserve"> </w:t>
      </w:r>
      <w:r w:rsidRPr="00BE07A2">
        <w:rPr>
          <w:rFonts w:eastAsia="Calibri"/>
          <w:sz w:val="22"/>
          <w:szCs w:val="22"/>
        </w:rPr>
        <w:t xml:space="preserve">essere formulate dagli operatori economici esclusivamente per mezzo del sistema START </w:t>
      </w:r>
      <w:r w:rsidR="00E75F93">
        <w:rPr>
          <w:rFonts w:eastAsia="Calibri"/>
          <w:sz w:val="22"/>
          <w:szCs w:val="22"/>
        </w:rPr>
        <w:t>-</w:t>
      </w:r>
      <w:r w:rsidRPr="00BE07A2">
        <w:rPr>
          <w:rFonts w:eastAsia="Calibri"/>
          <w:sz w:val="22"/>
          <w:szCs w:val="22"/>
        </w:rPr>
        <w:t xml:space="preserve"> accessibile</w:t>
      </w:r>
      <w:r>
        <w:rPr>
          <w:rFonts w:eastAsia="Calibri"/>
          <w:sz w:val="22"/>
          <w:szCs w:val="22"/>
        </w:rPr>
        <w:t xml:space="preserve"> </w:t>
      </w:r>
      <w:r w:rsidRPr="00BE07A2">
        <w:rPr>
          <w:rFonts w:eastAsia="Calibri"/>
          <w:sz w:val="22"/>
          <w:szCs w:val="22"/>
        </w:rPr>
        <w:t>all’indirizzo: https://start.toscana.it/</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Per firmare digitalmente la manifestazione d’interesse i titolari o legali rappresentanti o procuratori</w:t>
      </w:r>
      <w:r>
        <w:rPr>
          <w:rFonts w:eastAsia="Calibri"/>
          <w:sz w:val="22"/>
          <w:szCs w:val="22"/>
        </w:rPr>
        <w:t xml:space="preserve"> </w:t>
      </w:r>
      <w:r w:rsidRPr="00BE07A2">
        <w:rPr>
          <w:rFonts w:eastAsia="Calibri"/>
          <w:sz w:val="22"/>
          <w:szCs w:val="22"/>
        </w:rPr>
        <w:t>degli operatori economici dovranno essere in possesso di un certificato qualificato di</w:t>
      </w:r>
      <w:r>
        <w:rPr>
          <w:rFonts w:eastAsia="Calibri"/>
          <w:sz w:val="22"/>
          <w:szCs w:val="22"/>
        </w:rPr>
        <w:t xml:space="preserve"> </w:t>
      </w:r>
      <w:r w:rsidRPr="00BE07A2">
        <w:rPr>
          <w:rFonts w:eastAsia="Calibri"/>
          <w:sz w:val="22"/>
          <w:szCs w:val="22"/>
        </w:rPr>
        <w:t>firma elettronica che, al momento della sottoscrizione, non risulti scaduto di validità ovvero</w:t>
      </w:r>
      <w:r>
        <w:rPr>
          <w:rFonts w:eastAsia="Calibri"/>
          <w:sz w:val="22"/>
          <w:szCs w:val="22"/>
        </w:rPr>
        <w:t xml:space="preserve"> </w:t>
      </w:r>
      <w:r w:rsidRPr="00BE07A2">
        <w:rPr>
          <w:rFonts w:eastAsia="Calibri"/>
          <w:sz w:val="22"/>
          <w:szCs w:val="22"/>
        </w:rPr>
        <w:t xml:space="preserve">non risulti revocato o sospeso. Ai sensi </w:t>
      </w:r>
      <w:r w:rsidRPr="00BE07A2">
        <w:rPr>
          <w:rFonts w:eastAsia="Calibri"/>
          <w:sz w:val="22"/>
          <w:szCs w:val="22"/>
        </w:rPr>
        <w:lastRenderedPageBreak/>
        <w:t>del Regolamento (UE) n. 910/2014 del Parlamento europeo</w:t>
      </w:r>
      <w:r>
        <w:rPr>
          <w:rFonts w:eastAsia="Calibri"/>
          <w:sz w:val="22"/>
          <w:szCs w:val="22"/>
        </w:rPr>
        <w:t xml:space="preserve"> </w:t>
      </w:r>
      <w:r w:rsidRPr="00BE07A2">
        <w:rPr>
          <w:rFonts w:eastAsia="Calibri"/>
          <w:sz w:val="22"/>
          <w:szCs w:val="22"/>
        </w:rPr>
        <w:t>e del Consiglio, del 23 luglio 2014, il certificato qualificato dovrà essere rilasciato da un</w:t>
      </w:r>
      <w:r>
        <w:rPr>
          <w:rFonts w:eastAsia="Calibri"/>
          <w:sz w:val="22"/>
          <w:szCs w:val="22"/>
        </w:rPr>
        <w:t xml:space="preserve"> </w:t>
      </w:r>
      <w:r w:rsidRPr="00BE07A2">
        <w:rPr>
          <w:rFonts w:eastAsia="Calibri"/>
          <w:sz w:val="22"/>
          <w:szCs w:val="22"/>
        </w:rPr>
        <w:t>prestatore di servizi fiduciari qualificati presente nella lista di fiducia (</w:t>
      </w:r>
      <w:proofErr w:type="spellStart"/>
      <w:r w:rsidRPr="00BE07A2">
        <w:rPr>
          <w:rFonts w:eastAsia="Calibri"/>
          <w:sz w:val="22"/>
          <w:szCs w:val="22"/>
        </w:rPr>
        <w:t>Trusted</w:t>
      </w:r>
      <w:proofErr w:type="spellEnd"/>
      <w:r w:rsidRPr="00BE07A2">
        <w:rPr>
          <w:rFonts w:eastAsia="Calibri"/>
          <w:sz w:val="22"/>
          <w:szCs w:val="22"/>
        </w:rPr>
        <w:t xml:space="preserve"> </w:t>
      </w:r>
      <w:proofErr w:type="spellStart"/>
      <w:r w:rsidRPr="00BE07A2">
        <w:rPr>
          <w:rFonts w:eastAsia="Calibri"/>
          <w:sz w:val="22"/>
          <w:szCs w:val="22"/>
        </w:rPr>
        <w:t>list</w:t>
      </w:r>
      <w:proofErr w:type="spellEnd"/>
      <w:r w:rsidRPr="00BE07A2">
        <w:rPr>
          <w:rFonts w:eastAsia="Calibri"/>
          <w:sz w:val="22"/>
          <w:szCs w:val="22"/>
        </w:rPr>
        <w:t>) pubblicata</w:t>
      </w:r>
      <w:r>
        <w:rPr>
          <w:rFonts w:eastAsia="Calibri"/>
          <w:sz w:val="22"/>
          <w:szCs w:val="22"/>
        </w:rPr>
        <w:t xml:space="preserve"> </w:t>
      </w:r>
      <w:r w:rsidRPr="00BE07A2">
        <w:rPr>
          <w:rFonts w:eastAsia="Calibri"/>
          <w:sz w:val="22"/>
          <w:szCs w:val="22"/>
        </w:rPr>
        <w:t>dallo Stato membro in cui è stabilito.</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Al fine di verificare la validità delle firme digitali e delle firme elettroniche qualificate basate</w:t>
      </w:r>
      <w:r>
        <w:rPr>
          <w:rFonts w:eastAsia="Calibri"/>
          <w:sz w:val="22"/>
          <w:szCs w:val="22"/>
        </w:rPr>
        <w:t xml:space="preserve"> </w:t>
      </w:r>
      <w:r w:rsidRPr="00BE07A2">
        <w:rPr>
          <w:rFonts w:eastAsia="Calibri"/>
          <w:sz w:val="22"/>
          <w:szCs w:val="22"/>
        </w:rPr>
        <w:t>su certificati rilasciati da tutti i soggetti autorizzati in Europa, la Commissione europea ha</w:t>
      </w:r>
      <w:r>
        <w:rPr>
          <w:rFonts w:eastAsia="Calibri"/>
          <w:sz w:val="22"/>
          <w:szCs w:val="22"/>
        </w:rPr>
        <w:t xml:space="preserve"> </w:t>
      </w:r>
      <w:r w:rsidRPr="00BE07A2">
        <w:rPr>
          <w:rFonts w:eastAsia="Calibri"/>
          <w:sz w:val="22"/>
          <w:szCs w:val="22"/>
        </w:rPr>
        <w:t xml:space="preserve">reso disponibile un'applicazione open source utilizzabile on </w:t>
      </w:r>
      <w:proofErr w:type="spellStart"/>
      <w:r w:rsidRPr="00BE07A2">
        <w:rPr>
          <w:rFonts w:eastAsia="Calibri"/>
          <w:sz w:val="22"/>
          <w:szCs w:val="22"/>
        </w:rPr>
        <w:t>line</w:t>
      </w:r>
      <w:proofErr w:type="spellEnd"/>
      <w:r w:rsidRPr="00BE07A2">
        <w:rPr>
          <w:rFonts w:eastAsia="Calibri"/>
          <w:sz w:val="22"/>
          <w:szCs w:val="22"/>
        </w:rPr>
        <w:t xml:space="preserve"> sul sito dell’Agenzia per l’Italia</w:t>
      </w:r>
      <w:r>
        <w:rPr>
          <w:rFonts w:eastAsia="Calibri"/>
          <w:sz w:val="22"/>
          <w:szCs w:val="22"/>
        </w:rPr>
        <w:t xml:space="preserve"> </w:t>
      </w:r>
      <w:r w:rsidRPr="00BE07A2">
        <w:rPr>
          <w:rFonts w:eastAsia="Calibri"/>
          <w:sz w:val="22"/>
          <w:szCs w:val="22"/>
        </w:rPr>
        <w:t>Digitale nella sezione “Software di verifica”.</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L’Amministrazione aggiudicatrice utilizzerà tale applicazione per il riconoscimento e la verifica</w:t>
      </w:r>
      <w:r>
        <w:rPr>
          <w:rFonts w:eastAsia="Calibri"/>
          <w:sz w:val="22"/>
          <w:szCs w:val="22"/>
        </w:rPr>
        <w:t xml:space="preserve"> </w:t>
      </w:r>
      <w:r w:rsidRPr="00BE07A2">
        <w:rPr>
          <w:rFonts w:eastAsia="Calibri"/>
          <w:sz w:val="22"/>
          <w:szCs w:val="22"/>
        </w:rPr>
        <w:t>dei documenti informatici sottoscritti nei diversi Stati Membri della Comunità.</w:t>
      </w:r>
    </w:p>
    <w:p w:rsidR="00BE07A2" w:rsidRPr="00BE07A2" w:rsidRDefault="00BE07A2" w:rsidP="00BE07A2">
      <w:pPr>
        <w:jc w:val="both"/>
        <w:rPr>
          <w:rFonts w:eastAsia="Calibri"/>
          <w:sz w:val="22"/>
          <w:szCs w:val="22"/>
        </w:rPr>
      </w:pPr>
      <w:r w:rsidRPr="00BE07A2">
        <w:rPr>
          <w:rFonts w:eastAsia="Calibri"/>
          <w:sz w:val="22"/>
          <w:szCs w:val="22"/>
        </w:rPr>
        <w:t>In questa fase, l’Amministrazione aggiudicatrice si limita a fornire chiarimenti solo sulle modalità</w:t>
      </w:r>
      <w:r>
        <w:rPr>
          <w:rFonts w:eastAsia="Calibri"/>
          <w:sz w:val="22"/>
          <w:szCs w:val="22"/>
        </w:rPr>
        <w:t xml:space="preserve"> </w:t>
      </w:r>
      <w:r w:rsidRPr="00BE07A2">
        <w:rPr>
          <w:rFonts w:eastAsia="Calibri"/>
          <w:sz w:val="22"/>
          <w:szCs w:val="22"/>
        </w:rPr>
        <w:t>di presentazione della manifestazione d’interesse telematica. Per le successive richieste di</w:t>
      </w:r>
      <w:r>
        <w:rPr>
          <w:rFonts w:eastAsia="Calibri"/>
          <w:sz w:val="22"/>
          <w:szCs w:val="22"/>
        </w:rPr>
        <w:t xml:space="preserve"> </w:t>
      </w:r>
      <w:r w:rsidRPr="00BE07A2">
        <w:rPr>
          <w:rFonts w:eastAsia="Calibri"/>
          <w:sz w:val="22"/>
          <w:szCs w:val="22"/>
        </w:rPr>
        <w:t>chiarimenti su documenti di gara ed elaborati progettuali, queste si svolgeranno con le modalità</w:t>
      </w:r>
      <w:r>
        <w:rPr>
          <w:rFonts w:eastAsia="Calibri"/>
          <w:sz w:val="22"/>
          <w:szCs w:val="22"/>
        </w:rPr>
        <w:t xml:space="preserve"> </w:t>
      </w:r>
      <w:r w:rsidRPr="00BE07A2">
        <w:rPr>
          <w:rFonts w:eastAsia="Calibri"/>
          <w:sz w:val="22"/>
          <w:szCs w:val="22"/>
        </w:rPr>
        <w:t xml:space="preserve">previste nella lettera d’invito, che sarà inviata ai </w:t>
      </w:r>
      <w:r w:rsidR="00BB3FBA" w:rsidRPr="00BB3FBA">
        <w:rPr>
          <w:rFonts w:eastAsia="Calibri"/>
          <w:b/>
          <w:sz w:val="22"/>
          <w:szCs w:val="22"/>
        </w:rPr>
        <w:t>20</w:t>
      </w:r>
      <w:r w:rsidRPr="00BB3FBA">
        <w:rPr>
          <w:rFonts w:eastAsia="Calibri"/>
          <w:b/>
          <w:sz w:val="22"/>
          <w:szCs w:val="22"/>
        </w:rPr>
        <w:t xml:space="preserve"> operatori economici</w:t>
      </w:r>
      <w:r w:rsidRPr="00BE07A2">
        <w:rPr>
          <w:rFonts w:eastAsia="Calibri"/>
          <w:sz w:val="22"/>
          <w:szCs w:val="22"/>
        </w:rPr>
        <w:t xml:space="preserve"> sorteggiati come previsto</w:t>
      </w:r>
      <w:r>
        <w:rPr>
          <w:rFonts w:eastAsia="Calibri"/>
          <w:sz w:val="22"/>
          <w:szCs w:val="22"/>
        </w:rPr>
        <w:t xml:space="preserve"> </w:t>
      </w:r>
      <w:r w:rsidRPr="00BE07A2">
        <w:rPr>
          <w:rFonts w:eastAsia="Calibri"/>
          <w:sz w:val="22"/>
          <w:szCs w:val="22"/>
        </w:rPr>
        <w:t>dal presente avviso.</w:t>
      </w:r>
    </w:p>
    <w:p w:rsid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 xml:space="preserve">Attenzione: Il sistema telematico di acquisti online della Regione Toscana utilizza la casella denominata </w:t>
      </w:r>
      <w:r w:rsidRPr="00BE07A2">
        <w:rPr>
          <w:rFonts w:eastAsia="Calibri"/>
          <w:b/>
          <w:sz w:val="22"/>
          <w:szCs w:val="22"/>
        </w:rPr>
        <w:t>noreply@start.e.toscana.it</w:t>
      </w:r>
      <w:r w:rsidRPr="00BE07A2">
        <w:rPr>
          <w:rFonts w:eastAsia="Calibri"/>
          <w:sz w:val="22"/>
          <w:szCs w:val="22"/>
        </w:rPr>
        <w:t xml:space="preserve"> per inviare tutti i messaggi di posta</w:t>
      </w:r>
      <w:r>
        <w:rPr>
          <w:rFonts w:eastAsia="Calibri"/>
          <w:sz w:val="22"/>
          <w:szCs w:val="22"/>
        </w:rPr>
        <w:t xml:space="preserve"> </w:t>
      </w:r>
      <w:r w:rsidRPr="00BE07A2">
        <w:rPr>
          <w:rFonts w:eastAsia="Calibri"/>
          <w:sz w:val="22"/>
          <w:szCs w:val="22"/>
        </w:rPr>
        <w:t>elettronica.</w:t>
      </w:r>
    </w:p>
    <w:p w:rsidR="00BE07A2" w:rsidRDefault="00BE07A2" w:rsidP="00BE07A2">
      <w:pPr>
        <w:jc w:val="both"/>
        <w:rPr>
          <w:rFonts w:eastAsia="Calibri"/>
          <w:sz w:val="22"/>
          <w:szCs w:val="22"/>
        </w:rPr>
      </w:pPr>
      <w:r w:rsidRPr="00BE07A2">
        <w:rPr>
          <w:rFonts w:eastAsia="Calibri"/>
          <w:sz w:val="22"/>
          <w:szCs w:val="22"/>
        </w:rPr>
        <w:t>I concorrenti sono tenuti a controllare che le mail inviate dal sistema non vengano respinte né</w:t>
      </w:r>
      <w:r>
        <w:rPr>
          <w:rFonts w:eastAsia="Calibri"/>
          <w:sz w:val="22"/>
          <w:szCs w:val="22"/>
        </w:rPr>
        <w:t xml:space="preserve"> </w:t>
      </w:r>
      <w:r w:rsidRPr="00BE07A2">
        <w:rPr>
          <w:rFonts w:eastAsia="Calibri"/>
          <w:sz w:val="22"/>
          <w:szCs w:val="22"/>
        </w:rPr>
        <w:t>trattate come Spam dal proprio sistema di posta elettronica e, in ogni caso, a verificare</w:t>
      </w:r>
      <w:r>
        <w:rPr>
          <w:rFonts w:eastAsia="Calibri"/>
          <w:sz w:val="22"/>
          <w:szCs w:val="22"/>
        </w:rPr>
        <w:t xml:space="preserve"> </w:t>
      </w:r>
      <w:r w:rsidRPr="00BE07A2">
        <w:rPr>
          <w:rFonts w:eastAsia="Calibri"/>
          <w:sz w:val="22"/>
          <w:szCs w:val="22"/>
        </w:rPr>
        <w:t>costantemente sul sistema la presenza di comunicazioni.</w:t>
      </w:r>
    </w:p>
    <w:p w:rsidR="00BE07A2" w:rsidRPr="00BE07A2" w:rsidRDefault="00BE07A2" w:rsidP="00BE07A2">
      <w:pPr>
        <w:jc w:val="both"/>
        <w:rPr>
          <w:rFonts w:eastAsia="Calibri"/>
          <w:sz w:val="22"/>
          <w:szCs w:val="22"/>
        </w:rPr>
      </w:pPr>
    </w:p>
    <w:p w:rsidR="00BE07A2" w:rsidRDefault="00BE07A2" w:rsidP="00BE07A2">
      <w:pPr>
        <w:jc w:val="both"/>
        <w:rPr>
          <w:rFonts w:eastAsia="Calibri"/>
          <w:sz w:val="22"/>
          <w:szCs w:val="22"/>
        </w:rPr>
      </w:pPr>
      <w:r w:rsidRPr="00BE07A2">
        <w:rPr>
          <w:rFonts w:eastAsia="Calibri"/>
          <w:sz w:val="22"/>
          <w:szCs w:val="22"/>
        </w:rPr>
        <w:t xml:space="preserve">Il responsabile unico del procedimento è </w:t>
      </w:r>
      <w:r w:rsidR="00506AEB">
        <w:rPr>
          <w:rFonts w:eastAsia="Calibri"/>
          <w:sz w:val="22"/>
          <w:szCs w:val="22"/>
        </w:rPr>
        <w:t>l’A</w:t>
      </w:r>
      <w:r>
        <w:rPr>
          <w:rFonts w:eastAsia="Calibri"/>
          <w:sz w:val="22"/>
          <w:szCs w:val="22"/>
        </w:rPr>
        <w:t xml:space="preserve">rch. </w:t>
      </w:r>
      <w:r w:rsidR="00506AEB">
        <w:rPr>
          <w:rFonts w:eastAsia="Calibri"/>
          <w:sz w:val="22"/>
          <w:szCs w:val="22"/>
        </w:rPr>
        <w:t xml:space="preserve">Christian </w:t>
      </w:r>
      <w:proofErr w:type="spellStart"/>
      <w:r w:rsidR="00506AEB">
        <w:rPr>
          <w:rFonts w:eastAsia="Calibri"/>
          <w:sz w:val="22"/>
          <w:szCs w:val="22"/>
        </w:rPr>
        <w:t>boneddu</w:t>
      </w:r>
      <w:proofErr w:type="spellEnd"/>
      <w:r w:rsidRPr="00BE07A2">
        <w:rPr>
          <w:rFonts w:eastAsia="Calibri"/>
          <w:sz w:val="22"/>
          <w:szCs w:val="22"/>
        </w:rPr>
        <w:t xml:space="preserve">, </w:t>
      </w:r>
      <w:r w:rsidR="00506AEB">
        <w:rPr>
          <w:rFonts w:eastAsia="Calibri"/>
          <w:sz w:val="22"/>
          <w:szCs w:val="22"/>
        </w:rPr>
        <w:t xml:space="preserve">con i seguenti recapiti: </w:t>
      </w:r>
      <w:r w:rsidRPr="00BE07A2">
        <w:rPr>
          <w:rFonts w:eastAsia="Calibri"/>
          <w:sz w:val="22"/>
          <w:szCs w:val="22"/>
        </w:rPr>
        <w:t>tel. 05</w:t>
      </w:r>
      <w:r>
        <w:rPr>
          <w:rFonts w:eastAsia="Calibri"/>
          <w:sz w:val="22"/>
          <w:szCs w:val="22"/>
        </w:rPr>
        <w:t>86.980.1</w:t>
      </w:r>
      <w:r w:rsidR="00506AEB">
        <w:rPr>
          <w:rFonts w:eastAsia="Calibri"/>
          <w:sz w:val="22"/>
          <w:szCs w:val="22"/>
        </w:rPr>
        <w:t xml:space="preserve">29 – e-mail: </w:t>
      </w:r>
      <w:hyperlink r:id="rId8" w:history="1">
        <w:r w:rsidR="00506AEB" w:rsidRPr="00835228">
          <w:rPr>
            <w:rStyle w:val="Collegamentoipertestuale"/>
            <w:rFonts w:eastAsia="Calibri"/>
            <w:sz w:val="22"/>
            <w:szCs w:val="22"/>
          </w:rPr>
          <w:t>c.boneddu@comune.collesalvetti.li.it</w:t>
        </w:r>
      </w:hyperlink>
      <w:r w:rsidR="00506AEB">
        <w:rPr>
          <w:rFonts w:eastAsia="Calibri"/>
          <w:sz w:val="22"/>
          <w:szCs w:val="22"/>
        </w:rPr>
        <w:t>;</w:t>
      </w:r>
      <w:r w:rsidRPr="00BE07A2">
        <w:rPr>
          <w:rFonts w:eastAsia="Calibri"/>
          <w:sz w:val="22"/>
          <w:szCs w:val="22"/>
        </w:rPr>
        <w:t>.</w:t>
      </w:r>
    </w:p>
    <w:p w:rsidR="00BE07A2" w:rsidRPr="00BE07A2" w:rsidRDefault="00BE07A2" w:rsidP="00BE07A2">
      <w:pPr>
        <w:jc w:val="both"/>
        <w:rPr>
          <w:rFonts w:eastAsia="Calibri"/>
          <w:sz w:val="22"/>
          <w:szCs w:val="22"/>
        </w:rPr>
      </w:pPr>
    </w:p>
    <w:p w:rsidR="00BE07A2" w:rsidRPr="00BE07A2" w:rsidRDefault="00BE07A2" w:rsidP="00BE07A2">
      <w:pPr>
        <w:jc w:val="both"/>
        <w:rPr>
          <w:rFonts w:eastAsia="Calibri"/>
          <w:sz w:val="22"/>
          <w:szCs w:val="22"/>
        </w:rPr>
      </w:pPr>
      <w:r w:rsidRPr="00BE07A2">
        <w:rPr>
          <w:rFonts w:eastAsia="Calibri"/>
          <w:sz w:val="22"/>
          <w:szCs w:val="22"/>
        </w:rPr>
        <w:t>L’Amministrazione aggiudicatrice si riserva la facoltà di non procedere all’avvio della procedura</w:t>
      </w:r>
      <w:r w:rsidR="000501A8">
        <w:rPr>
          <w:rFonts w:eastAsia="Calibri"/>
          <w:sz w:val="22"/>
          <w:szCs w:val="22"/>
        </w:rPr>
        <w:t xml:space="preserve"> </w:t>
      </w:r>
      <w:r w:rsidRPr="00BE07A2">
        <w:rPr>
          <w:rFonts w:eastAsia="Calibri"/>
          <w:sz w:val="22"/>
          <w:szCs w:val="22"/>
        </w:rPr>
        <w:t>relativa all’affidamento di cui trattasi, per motivi di opportunità o convenienza, senza che i soggetti</w:t>
      </w:r>
    </w:p>
    <w:p w:rsidR="00BE07A2" w:rsidRPr="00BE07A2" w:rsidRDefault="00BE07A2" w:rsidP="00BE07A2">
      <w:pPr>
        <w:jc w:val="both"/>
        <w:rPr>
          <w:rFonts w:eastAsia="Calibri"/>
          <w:sz w:val="22"/>
          <w:szCs w:val="22"/>
        </w:rPr>
      </w:pPr>
      <w:r w:rsidRPr="00BE07A2">
        <w:rPr>
          <w:rFonts w:eastAsia="Calibri"/>
          <w:sz w:val="22"/>
          <w:szCs w:val="22"/>
        </w:rPr>
        <w:t>richiedenti abbiano nulla a pretendere</w:t>
      </w:r>
    </w:p>
    <w:p w:rsidR="00BE07A2" w:rsidRPr="00BE07A2" w:rsidRDefault="00BE07A2" w:rsidP="00BE07A2">
      <w:pPr>
        <w:jc w:val="both"/>
        <w:rPr>
          <w:sz w:val="22"/>
          <w:szCs w:val="22"/>
        </w:rPr>
      </w:pPr>
    </w:p>
    <w:p w:rsidR="00B43250" w:rsidRPr="00B708E1" w:rsidRDefault="00B43250" w:rsidP="00B43250">
      <w:pPr>
        <w:pStyle w:val="Default"/>
        <w:jc w:val="both"/>
        <w:rPr>
          <w:rFonts w:ascii="Times New Roman" w:hAnsi="Times New Roman" w:cs="Times New Roman"/>
          <w:color w:val="auto"/>
          <w:sz w:val="22"/>
          <w:szCs w:val="22"/>
        </w:rPr>
      </w:pPr>
      <w:r w:rsidRPr="00B708E1">
        <w:rPr>
          <w:rFonts w:ascii="Times New Roman" w:hAnsi="Times New Roman" w:cs="Times New Roman"/>
          <w:b/>
          <w:bCs/>
          <w:color w:val="auto"/>
          <w:sz w:val="22"/>
          <w:szCs w:val="22"/>
        </w:rPr>
        <w:t xml:space="preserve">Trattandosi di fase preliminare limitata al reperimento </w:t>
      </w:r>
      <w:r w:rsidR="00B97C5D">
        <w:rPr>
          <w:rFonts w:ascii="Times New Roman" w:hAnsi="Times New Roman" w:cs="Times New Roman"/>
          <w:b/>
          <w:bCs/>
          <w:color w:val="auto"/>
          <w:sz w:val="22"/>
          <w:szCs w:val="22"/>
        </w:rPr>
        <w:t>di operatori eco</w:t>
      </w:r>
      <w:r w:rsidR="00C73DFE">
        <w:rPr>
          <w:rFonts w:ascii="Times New Roman" w:hAnsi="Times New Roman" w:cs="Times New Roman"/>
          <w:b/>
          <w:bCs/>
          <w:color w:val="auto"/>
          <w:sz w:val="22"/>
          <w:szCs w:val="22"/>
        </w:rPr>
        <w:t>no</w:t>
      </w:r>
      <w:r w:rsidR="00B97C5D">
        <w:rPr>
          <w:rFonts w:ascii="Times New Roman" w:hAnsi="Times New Roman" w:cs="Times New Roman"/>
          <w:b/>
          <w:bCs/>
          <w:color w:val="auto"/>
          <w:sz w:val="22"/>
          <w:szCs w:val="22"/>
        </w:rPr>
        <w:t>mici</w:t>
      </w:r>
      <w:r w:rsidRPr="00B708E1">
        <w:rPr>
          <w:rFonts w:ascii="Times New Roman" w:hAnsi="Times New Roman" w:cs="Times New Roman"/>
          <w:b/>
          <w:bCs/>
          <w:color w:val="auto"/>
          <w:sz w:val="22"/>
          <w:szCs w:val="22"/>
        </w:rPr>
        <w:t xml:space="preserve"> sul mercato da invitare a successiva procedura negoziata, si precisa che la documentazione tecnica necessaria alla predisposizione dell'offerta verrà’ pubblicata al momento dell'avvio della procedura di gara.</w:t>
      </w:r>
    </w:p>
    <w:p w:rsidR="00B43250" w:rsidRPr="00B708E1" w:rsidRDefault="00B43250" w:rsidP="00B43250">
      <w:pPr>
        <w:pStyle w:val="Default"/>
        <w:jc w:val="both"/>
        <w:rPr>
          <w:rFonts w:ascii="Times New Roman" w:hAnsi="Times New Roman" w:cs="Times New Roman"/>
          <w:color w:val="auto"/>
          <w:sz w:val="22"/>
          <w:szCs w:val="22"/>
        </w:rPr>
      </w:pPr>
    </w:p>
    <w:p w:rsidR="00F90590" w:rsidRPr="00B708E1" w:rsidRDefault="00F90590" w:rsidP="00F90590">
      <w:pPr>
        <w:jc w:val="both"/>
        <w:rPr>
          <w:sz w:val="22"/>
          <w:szCs w:val="22"/>
        </w:rPr>
      </w:pPr>
      <w:r w:rsidRPr="00B708E1">
        <w:rPr>
          <w:sz w:val="22"/>
          <w:szCs w:val="22"/>
        </w:rPr>
        <w:t>Si precisa che ogni ulteriore informazione relativa alla procedura di manifestazione di interesse potrà essere richiesta all’Ufficio Lavori Pubblici, n. tel. 0586.980</w:t>
      </w:r>
      <w:r w:rsidR="00E75F93">
        <w:rPr>
          <w:sz w:val="22"/>
          <w:szCs w:val="22"/>
        </w:rPr>
        <w:t>.</w:t>
      </w:r>
      <w:r w:rsidRPr="00B708E1">
        <w:rPr>
          <w:sz w:val="22"/>
          <w:szCs w:val="22"/>
        </w:rPr>
        <w:t xml:space="preserve">245, </w:t>
      </w:r>
      <w:hyperlink r:id="rId9" w:history="1">
        <w:r w:rsidRPr="00B708E1">
          <w:rPr>
            <w:rStyle w:val="Collegamentoipertestuale"/>
            <w:sz w:val="22"/>
            <w:szCs w:val="22"/>
          </w:rPr>
          <w:t>m.lischi@comune.collesalvetti.li.it</w:t>
        </w:r>
      </w:hyperlink>
      <w:r w:rsidRPr="00B708E1">
        <w:rPr>
          <w:sz w:val="22"/>
          <w:szCs w:val="22"/>
        </w:rPr>
        <w:t xml:space="preserve"> oppure al n. tel. 0586.980</w:t>
      </w:r>
      <w:r w:rsidR="00E75F93">
        <w:rPr>
          <w:sz w:val="22"/>
          <w:szCs w:val="22"/>
        </w:rPr>
        <w:t>.</w:t>
      </w:r>
      <w:r w:rsidRPr="00B708E1">
        <w:rPr>
          <w:sz w:val="22"/>
          <w:szCs w:val="22"/>
        </w:rPr>
        <w:t xml:space="preserve">282,  </w:t>
      </w:r>
      <w:hyperlink r:id="rId10" w:history="1">
        <w:r w:rsidRPr="00B708E1">
          <w:rPr>
            <w:rStyle w:val="Collegamentoipertestuale"/>
            <w:sz w:val="22"/>
            <w:szCs w:val="22"/>
          </w:rPr>
          <w:t>s.dallavalle@comune.collesalvetti.li.it</w:t>
        </w:r>
      </w:hyperlink>
      <w:r w:rsidRPr="00B708E1">
        <w:rPr>
          <w:sz w:val="22"/>
          <w:szCs w:val="22"/>
        </w:rPr>
        <w:t xml:space="preserve">; mentre informazioni di carattere tecnico relative alle modalità di espletamento del servizio potranno essere richieste al  Responsabile del Procedimento, arch. </w:t>
      </w:r>
      <w:r w:rsidR="00D37FBC" w:rsidRPr="00D37FBC">
        <w:rPr>
          <w:sz w:val="22"/>
          <w:szCs w:val="22"/>
          <w:lang w:val="en-US"/>
        </w:rPr>
        <w:t xml:space="preserve">Christian </w:t>
      </w:r>
      <w:proofErr w:type="spellStart"/>
      <w:r w:rsidR="00D37FBC" w:rsidRPr="00D37FBC">
        <w:rPr>
          <w:sz w:val="22"/>
          <w:szCs w:val="22"/>
          <w:lang w:val="en-US"/>
        </w:rPr>
        <w:t>Boneddu</w:t>
      </w:r>
      <w:proofErr w:type="spellEnd"/>
      <w:r w:rsidRPr="00D37FBC">
        <w:rPr>
          <w:sz w:val="22"/>
          <w:szCs w:val="22"/>
          <w:lang w:val="en-US"/>
        </w:rPr>
        <w:t>, tel.0586.980</w:t>
      </w:r>
      <w:r w:rsidR="00E75F93" w:rsidRPr="00D37FBC">
        <w:rPr>
          <w:sz w:val="22"/>
          <w:szCs w:val="22"/>
          <w:lang w:val="en-US"/>
        </w:rPr>
        <w:t>.</w:t>
      </w:r>
      <w:r w:rsidR="00506AEB">
        <w:rPr>
          <w:sz w:val="22"/>
          <w:szCs w:val="22"/>
          <w:lang w:val="en-US"/>
        </w:rPr>
        <w:t>129</w:t>
      </w:r>
      <w:r w:rsidRPr="00D37FBC">
        <w:rPr>
          <w:sz w:val="22"/>
          <w:szCs w:val="22"/>
          <w:lang w:val="en-US"/>
        </w:rPr>
        <w:t xml:space="preserve">, </w:t>
      </w:r>
      <w:hyperlink r:id="rId11" w:history="1">
        <w:r w:rsidR="00D37FBC" w:rsidRPr="00415163">
          <w:rPr>
            <w:rStyle w:val="Collegamentoipertestuale"/>
            <w:sz w:val="22"/>
            <w:szCs w:val="22"/>
            <w:lang w:val="en-US"/>
          </w:rPr>
          <w:t>c.boneddu@comune.collesalvetti.li.it</w:t>
        </w:r>
      </w:hyperlink>
      <w:r w:rsidRPr="00D37FBC">
        <w:rPr>
          <w:sz w:val="22"/>
          <w:szCs w:val="22"/>
          <w:lang w:val="en-US"/>
        </w:rPr>
        <w:t xml:space="preserve"> o </w:t>
      </w:r>
      <w:proofErr w:type="spellStart"/>
      <w:r w:rsidRPr="00D37FBC">
        <w:rPr>
          <w:sz w:val="22"/>
          <w:szCs w:val="22"/>
          <w:lang w:val="en-US"/>
        </w:rPr>
        <w:t>al</w:t>
      </w:r>
      <w:r w:rsidR="00BE07A2" w:rsidRPr="00D37FBC">
        <w:rPr>
          <w:sz w:val="22"/>
          <w:szCs w:val="22"/>
          <w:lang w:val="en-US"/>
        </w:rPr>
        <w:t>l’arch</w:t>
      </w:r>
      <w:proofErr w:type="spellEnd"/>
      <w:r w:rsidR="00BE07A2" w:rsidRPr="00D37FBC">
        <w:rPr>
          <w:sz w:val="22"/>
          <w:szCs w:val="22"/>
          <w:lang w:val="en-US"/>
        </w:rPr>
        <w:t xml:space="preserve">. </w:t>
      </w:r>
      <w:r w:rsidR="00B97C5D">
        <w:rPr>
          <w:sz w:val="22"/>
          <w:szCs w:val="22"/>
        </w:rPr>
        <w:t>Riccardo</w:t>
      </w:r>
      <w:r w:rsidR="00BE07A2">
        <w:rPr>
          <w:sz w:val="22"/>
          <w:szCs w:val="22"/>
        </w:rPr>
        <w:t xml:space="preserve"> </w:t>
      </w:r>
      <w:r w:rsidR="00B97C5D">
        <w:rPr>
          <w:sz w:val="22"/>
          <w:szCs w:val="22"/>
        </w:rPr>
        <w:t>Carpi</w:t>
      </w:r>
      <w:r w:rsidRPr="00B708E1">
        <w:rPr>
          <w:sz w:val="22"/>
          <w:szCs w:val="22"/>
        </w:rPr>
        <w:t xml:space="preserve"> tel. 0586/980</w:t>
      </w:r>
      <w:r w:rsidR="00E75F93">
        <w:rPr>
          <w:sz w:val="22"/>
          <w:szCs w:val="22"/>
        </w:rPr>
        <w:t>.</w:t>
      </w:r>
      <w:r w:rsidRPr="00B708E1">
        <w:rPr>
          <w:sz w:val="22"/>
          <w:szCs w:val="22"/>
        </w:rPr>
        <w:t>2</w:t>
      </w:r>
      <w:r w:rsidR="00B97C5D">
        <w:rPr>
          <w:sz w:val="22"/>
          <w:szCs w:val="22"/>
        </w:rPr>
        <w:t>81</w:t>
      </w:r>
      <w:r w:rsidRPr="00B708E1">
        <w:rPr>
          <w:sz w:val="22"/>
          <w:szCs w:val="22"/>
        </w:rPr>
        <w:t xml:space="preserve">, </w:t>
      </w:r>
      <w:hyperlink r:id="rId12" w:history="1">
        <w:r w:rsidR="00B97C5D" w:rsidRPr="00D32894">
          <w:rPr>
            <w:rStyle w:val="Collegamentoipertestuale"/>
            <w:sz w:val="22"/>
            <w:szCs w:val="22"/>
          </w:rPr>
          <w:t>r.carpi@comune.collesalvetti.li.it</w:t>
        </w:r>
      </w:hyperlink>
    </w:p>
    <w:p w:rsidR="00F90590" w:rsidRPr="00B708E1" w:rsidRDefault="00F90590" w:rsidP="00F90590">
      <w:pPr>
        <w:jc w:val="both"/>
        <w:rPr>
          <w:sz w:val="22"/>
          <w:szCs w:val="22"/>
        </w:rPr>
      </w:pPr>
    </w:p>
    <w:p w:rsidR="00F90590" w:rsidRPr="00B708E1" w:rsidRDefault="00F90590" w:rsidP="00F90590">
      <w:pPr>
        <w:jc w:val="both"/>
        <w:rPr>
          <w:sz w:val="22"/>
          <w:szCs w:val="22"/>
        </w:rPr>
      </w:pPr>
      <w:r w:rsidRPr="00B708E1">
        <w:rPr>
          <w:sz w:val="22"/>
          <w:szCs w:val="22"/>
        </w:rPr>
        <w:t xml:space="preserve">Collesalvetti , </w:t>
      </w:r>
      <w:r w:rsidR="00506AEB">
        <w:rPr>
          <w:sz w:val="22"/>
          <w:szCs w:val="22"/>
        </w:rPr>
        <w:t>12/10/2017</w:t>
      </w:r>
    </w:p>
    <w:p w:rsidR="00F90590" w:rsidRPr="00B708E1" w:rsidRDefault="00F90590" w:rsidP="00F90590">
      <w:pPr>
        <w:jc w:val="right"/>
        <w:rPr>
          <w:sz w:val="22"/>
          <w:szCs w:val="22"/>
        </w:rPr>
      </w:pPr>
      <w:r w:rsidRPr="00B708E1">
        <w:rPr>
          <w:sz w:val="22"/>
          <w:szCs w:val="22"/>
        </w:rPr>
        <w:t>IL RUP</w:t>
      </w:r>
    </w:p>
    <w:p w:rsidR="00F90590" w:rsidRPr="00B708E1" w:rsidRDefault="00F90590" w:rsidP="00F90590">
      <w:pPr>
        <w:jc w:val="right"/>
        <w:rPr>
          <w:sz w:val="22"/>
          <w:szCs w:val="22"/>
        </w:rPr>
      </w:pPr>
      <w:r w:rsidRPr="00B708E1">
        <w:rPr>
          <w:sz w:val="22"/>
          <w:szCs w:val="22"/>
        </w:rPr>
        <w:t xml:space="preserve">Arch. </w:t>
      </w:r>
      <w:r w:rsidR="00D37FBC">
        <w:rPr>
          <w:sz w:val="22"/>
          <w:szCs w:val="22"/>
        </w:rPr>
        <w:t xml:space="preserve">Christian </w:t>
      </w:r>
      <w:proofErr w:type="spellStart"/>
      <w:r w:rsidR="00D37FBC">
        <w:rPr>
          <w:sz w:val="22"/>
          <w:szCs w:val="22"/>
        </w:rPr>
        <w:t>Boneddu</w:t>
      </w:r>
      <w:proofErr w:type="spellEnd"/>
    </w:p>
    <w:p w:rsidR="00B43250" w:rsidRPr="00B708E1" w:rsidRDefault="00B43250" w:rsidP="00B30C2F">
      <w:pPr>
        <w:rPr>
          <w:b/>
          <w:sz w:val="22"/>
          <w:szCs w:val="22"/>
        </w:rPr>
      </w:pPr>
    </w:p>
    <w:p w:rsidR="002778F9" w:rsidRPr="00B708E1" w:rsidRDefault="002778F9" w:rsidP="002324D2">
      <w:pPr>
        <w:jc w:val="both"/>
        <w:rPr>
          <w:sz w:val="22"/>
          <w:szCs w:val="22"/>
        </w:rPr>
      </w:pPr>
    </w:p>
    <w:sectPr w:rsidR="002778F9" w:rsidRPr="00B708E1" w:rsidSect="00EA7245">
      <w:headerReference w:type="default" r:id="rId13"/>
      <w:footerReference w:type="default" r:id="rId14"/>
      <w:pgSz w:w="11906" w:h="16838"/>
      <w:pgMar w:top="1985" w:right="1134" w:bottom="1134" w:left="1134"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C7" w:rsidRDefault="002C12C7">
      <w:r>
        <w:separator/>
      </w:r>
    </w:p>
  </w:endnote>
  <w:endnote w:type="continuationSeparator" w:id="0">
    <w:p w:rsidR="002C12C7" w:rsidRDefault="002C12C7">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C7" w:rsidRDefault="002C12C7">
    <w:pPr>
      <w:pStyle w:val="Pidipagina"/>
      <w:jc w:val="center"/>
    </w:pPr>
  </w:p>
  <w:p w:rsidR="002C12C7" w:rsidRDefault="002C12C7">
    <w:pPr>
      <w:pStyle w:val="Pidipagina"/>
      <w:jc w:val="center"/>
    </w:pPr>
    <w:fldSimple w:instr=" PAGE ">
      <w:r w:rsidR="00506AEB">
        <w:rPr>
          <w:noProof/>
        </w:rPr>
        <w:t>4</w:t>
      </w:r>
    </w:fldSimple>
  </w:p>
  <w:p w:rsidR="002C12C7" w:rsidRDefault="002C12C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C7" w:rsidRDefault="002C12C7">
      <w:r>
        <w:separator/>
      </w:r>
    </w:p>
  </w:footnote>
  <w:footnote w:type="continuationSeparator" w:id="0">
    <w:p w:rsidR="002C12C7" w:rsidRDefault="002C12C7">
      <w:r>
        <w:continuationSeparator/>
      </w:r>
    </w:p>
  </w:footnote>
  <w:footnote w:id="1">
    <w:p w:rsidR="002C12C7" w:rsidRPr="00073A7B" w:rsidRDefault="002C12C7" w:rsidP="00B817FF">
      <w:pPr>
        <w:pStyle w:val="Testonotaapidipagina"/>
        <w:ind w:left="180" w:hanging="180"/>
        <w:jc w:val="both"/>
        <w:rPr>
          <w:rFonts w:ascii="Candara" w:hAnsi="Candara"/>
          <w:i/>
          <w:sz w:val="16"/>
          <w:szCs w:val="16"/>
        </w:rPr>
      </w:pPr>
      <w:r w:rsidRPr="00073A7B">
        <w:rPr>
          <w:rStyle w:val="Rimandonotaapidipagina"/>
          <w:b/>
          <w:color w:val="C00000"/>
          <w:sz w:val="16"/>
          <w:szCs w:val="16"/>
        </w:rPr>
        <w:footnoteRef/>
      </w:r>
      <w:r w:rsidRPr="00073A7B">
        <w:rPr>
          <w:sz w:val="16"/>
          <w:szCs w:val="16"/>
        </w:rPr>
        <w:t xml:space="preserve"> </w:t>
      </w:r>
      <w:r w:rsidRPr="00073A7B">
        <w:rPr>
          <w:rFonts w:ascii="Candara" w:hAnsi="Candara"/>
          <w:sz w:val="16"/>
          <w:szCs w:val="16"/>
        </w:rPr>
        <w:t>«</w:t>
      </w:r>
      <w:proofErr w:type="spellStart"/>
      <w:r w:rsidRPr="00073A7B">
        <w:rPr>
          <w:rFonts w:ascii="Candara" w:hAnsi="Candara"/>
          <w:i/>
          <w:sz w:val="16"/>
          <w:szCs w:val="16"/>
        </w:rPr>
        <w:t>…deve</w:t>
      </w:r>
      <w:proofErr w:type="spellEnd"/>
      <w:r w:rsidRPr="00073A7B">
        <w:rPr>
          <w:rFonts w:ascii="Candara" w:hAnsi="Candara"/>
          <w:i/>
          <w:sz w:val="16"/>
          <w:szCs w:val="16"/>
        </w:rPr>
        <w:t xml:space="preserve"> ritenersi che possano essere spesi come requisiti di partecipazione alle procedure per l’affidamento dei servizi attinenti all’architettura e all’ingegneria, i servizi di consulenza aventi ad oggetto attività accessorie di supporto alla progettazione che non abbiano comportato la firma di elaborati progettuali, quali ad esempio, le attività accessorie di supporto per la consulenza specialistica relativa agli ambiti progettuali strutturali e geotecnici. Ciò a condizione che si tratti di attività svolta nell’esercizio di una professione regolamentata per la quale è richiesta una determinata qualifica professionale, come indicato dall’art. 3 della direttiva 2005/36/CE, e purché l’esecuzione della prestazione, in mancanza della firma di elaborati progettuali, sia documentata mediante la produzione del contratto di conferimento dell’incarico e delle relative fatture di pagamento. Inoltre, possono essere qualificati come servizi di architettura e ingegneria ai sensi dell’art. 3, lett. </w:t>
      </w:r>
      <w:proofErr w:type="spellStart"/>
      <w:r w:rsidRPr="00073A7B">
        <w:rPr>
          <w:rFonts w:ascii="Candara" w:hAnsi="Candara"/>
          <w:i/>
          <w:sz w:val="16"/>
          <w:szCs w:val="16"/>
        </w:rPr>
        <w:t>vvvv</w:t>
      </w:r>
      <w:proofErr w:type="spellEnd"/>
      <w:r w:rsidRPr="00073A7B">
        <w:rPr>
          <w:rFonts w:ascii="Candara" w:hAnsi="Candara"/>
          <w:i/>
          <w:sz w:val="16"/>
          <w:szCs w:val="16"/>
        </w:rPr>
        <w:t>) del codice le prestazioni di ingegneria relative alle sole verifiche strutturali e/o verifiche sismiche, in assenza di progettazione.</w:t>
      </w:r>
    </w:p>
    <w:p w:rsidR="002C12C7" w:rsidRPr="00073A7B" w:rsidRDefault="002C12C7" w:rsidP="00B817FF">
      <w:pPr>
        <w:pStyle w:val="Testonotaapidipagina"/>
        <w:ind w:left="180"/>
        <w:jc w:val="both"/>
        <w:rPr>
          <w:rFonts w:ascii="Candara" w:hAnsi="Candara"/>
          <w:sz w:val="16"/>
          <w:szCs w:val="16"/>
        </w:rPr>
      </w:pPr>
      <w:r w:rsidRPr="00073A7B">
        <w:rPr>
          <w:rFonts w:ascii="Candara" w:hAnsi="Candara"/>
          <w:i/>
          <w:sz w:val="16"/>
          <w:szCs w:val="16"/>
        </w:rPr>
        <w:t xml:space="preserve">I servizi di supporto alla  progettazione consistenti in varianti predisposte dai progettisti indicati  dalle imprese di costruzioni nel caso di partecipazione ad appalti integrati,  trattandosi di servizi riservati ad operatori economici esercenti una  professione regolamentata ai sensi dell’articolo 3 della direttiva 2005/36/CE,  rientrano nella definizione contenuta nell’art. 3, comma 1, lett. </w:t>
      </w:r>
      <w:proofErr w:type="spellStart"/>
      <w:r w:rsidRPr="00073A7B">
        <w:rPr>
          <w:rFonts w:ascii="Candara" w:hAnsi="Candara"/>
          <w:i/>
          <w:sz w:val="16"/>
          <w:szCs w:val="16"/>
        </w:rPr>
        <w:t>vvvv</w:t>
      </w:r>
      <w:proofErr w:type="spellEnd"/>
      <w:r w:rsidRPr="00073A7B">
        <w:rPr>
          <w:rFonts w:ascii="Candara" w:hAnsi="Candara"/>
          <w:i/>
          <w:sz w:val="16"/>
          <w:szCs w:val="16"/>
        </w:rPr>
        <w:t>) del  codice e, pertanto, possono essere utilizzati ai fini della dimostrazione del  possesso dei requisiti di partecipazione alle procedure di affidamento di  servizi attinenti all’architettura e all’ingegneria. Ciò a condizione che l’intervento risulti formalizzato in un elaborato sottoscritto dal progettista che intende avvalersene e che la stazione appaltante attesti la variante, formalmente approvata e validata, e il relativo importo. Detto importo dovrà corrispondere alla somma degli importi incrementali, riferiti alle categorie di lavori aggiuntive rispetto al progetto posto a base di gara, ferma restando l’inammissibilità delle offerte in aumento sull’importo a base d’asta, ai sensi dell’art. 59, comma 4, lett. e) del Codice.</w:t>
      </w:r>
      <w:r w:rsidRPr="00073A7B">
        <w:rPr>
          <w:rFonts w:ascii="Candara" w:hAnsi="Candara"/>
          <w:sz w:val="16"/>
          <w:szCs w:val="16"/>
        </w:rPr>
        <w:t>» (Comunicato del Presidente dell’ANAC del 14 Dicembre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C7" w:rsidRDefault="002C12C7">
    <w:pPr>
      <w:pStyle w:val="Intestazione"/>
      <w:rPr>
        <w:rFonts w:ascii="Palatino Linotype" w:hAnsi="Palatino Linotype" w:cs="Palatino Linotype"/>
        <w:sz w:val="36"/>
        <w:szCs w:val="36"/>
        <w:lang w:eastAsia="it-IT"/>
      </w:rPr>
    </w:pPr>
    <w:r w:rsidRPr="00991984">
      <w:pict>
        <v:shapetype id="_x0000_t202" coordsize="21600,21600" o:spt="202" path="m,l,21600r21600,l21600,xe">
          <v:stroke joinstyle="miter"/>
          <v:path gradientshapeok="t" o:connecttype="rect"/>
        </v:shapetype>
        <v:shape id="_x0000_s1025" type="#_x0000_t202" style="position:absolute;margin-left:2pt;margin-top:11.1pt;width:141.3pt;height:73.35pt;z-index:251656192;mso-wrap-distance-left:0;mso-wrap-distance-right:7.1pt;mso-position-horizontal-relative:margin" stroked="f">
          <v:fill opacity="0" color2="black"/>
          <v:textbox inset="0,0,0,0">
            <w:txbxContent>
              <w:tbl>
                <w:tblPr>
                  <w:tblW w:w="0" w:type="auto"/>
                  <w:tblInd w:w="70" w:type="dxa"/>
                  <w:tblLayout w:type="fixed"/>
                  <w:tblCellMar>
                    <w:left w:w="70" w:type="dxa"/>
                    <w:right w:w="70" w:type="dxa"/>
                  </w:tblCellMar>
                  <w:tblLook w:val="0000"/>
                </w:tblPr>
                <w:tblGrid>
                  <w:gridCol w:w="2830"/>
                </w:tblGrid>
                <w:tr w:rsidR="002C12C7">
                  <w:trPr>
                    <w:trHeight w:val="1295"/>
                  </w:trPr>
                  <w:tc>
                    <w:tcPr>
                      <w:tcW w:w="2830" w:type="dxa"/>
                      <w:shd w:val="clear" w:color="auto" w:fill="auto"/>
                      <w:vAlign w:val="bottom"/>
                    </w:tcPr>
                    <w:p w:rsidR="002C12C7" w:rsidRDefault="002C12C7">
                      <w:pPr>
                        <w:pStyle w:val="Titolo1"/>
                        <w:snapToGrid w:val="0"/>
                        <w:spacing w:before="0" w:after="0" w:line="360" w:lineRule="exact"/>
                        <w:rPr>
                          <w:sz w:val="40"/>
                          <w:szCs w:val="40"/>
                        </w:rPr>
                      </w:pPr>
                      <w:r>
                        <w:t>Comune di</w:t>
                      </w:r>
                    </w:p>
                    <w:p w:rsidR="002C12C7" w:rsidRDefault="002C12C7">
                      <w:pPr>
                        <w:spacing w:line="360" w:lineRule="exact"/>
                        <w:jc w:val="right"/>
                        <w:rPr>
                          <w:rFonts w:ascii="Palatino Linotype" w:hAnsi="Palatino Linotype" w:cs="Palatino Linotype"/>
                          <w:smallCaps/>
                          <w:spacing w:val="18"/>
                          <w:sz w:val="19"/>
                          <w:szCs w:val="19"/>
                        </w:rPr>
                      </w:pPr>
                      <w:r>
                        <w:rPr>
                          <w:rFonts w:ascii="Palatino Linotype" w:hAnsi="Palatino Linotype" w:cs="Palatino Linotype"/>
                          <w:sz w:val="40"/>
                          <w:szCs w:val="40"/>
                        </w:rPr>
                        <w:t>Collesalvetti</w:t>
                      </w:r>
                    </w:p>
                    <w:p w:rsidR="002C12C7" w:rsidRDefault="002C12C7">
                      <w:pPr>
                        <w:spacing w:line="240" w:lineRule="exact"/>
                        <w:jc w:val="right"/>
                      </w:pPr>
                      <w:r>
                        <w:rPr>
                          <w:rFonts w:ascii="Palatino Linotype" w:hAnsi="Palatino Linotype" w:cs="Palatino Linotype"/>
                          <w:smallCaps/>
                          <w:spacing w:val="18"/>
                          <w:sz w:val="19"/>
                          <w:szCs w:val="19"/>
                        </w:rPr>
                        <w:t xml:space="preserve">provincia di </w:t>
                      </w:r>
                      <w:proofErr w:type="spellStart"/>
                      <w:r>
                        <w:rPr>
                          <w:rFonts w:ascii="Palatino Linotype" w:hAnsi="Palatino Linotype" w:cs="Palatino Linotype"/>
                          <w:smallCaps/>
                          <w:spacing w:val="18"/>
                          <w:sz w:val="19"/>
                          <w:szCs w:val="19"/>
                        </w:rPr>
                        <w:t>livorno</w:t>
                      </w:r>
                      <w:proofErr w:type="spellEnd"/>
                    </w:p>
                  </w:tc>
                </w:tr>
              </w:tbl>
              <w:p w:rsidR="002C12C7" w:rsidRDefault="002C12C7">
                <w:r>
                  <w:t xml:space="preserve"> </w:t>
                </w:r>
              </w:p>
            </w:txbxContent>
          </v:textbox>
          <w10:wrap type="square" anchorx="margin"/>
        </v:shape>
      </w:pict>
    </w:r>
    <w:r w:rsidRPr="009919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5.8pt;margin-top:11.1pt;width:53.15pt;height:64.3pt;z-index:251658240;mso-wrap-distance-left:9.05pt;mso-wrap-distance-right:9.05pt" filled="t">
          <v:fill opacity="0" color2="black"/>
          <v:imagedata r:id="rId1" o:title=""/>
        </v:shape>
      </w:pict>
    </w:r>
    <w:r w:rsidRPr="00991984">
      <w:pict>
        <v:shapetype id="_x0000_t32" coordsize="21600,21600" o:spt="32" o:oned="t" path="m,l21600,21600e" filled="f">
          <v:path arrowok="t" fillok="f" o:connecttype="none"/>
          <o:lock v:ext="edit" shapetype="t"/>
        </v:shapetype>
        <v:shape id="_x0000_s1028" type="#_x0000_t32" style="position:absolute;margin-left:155.55pt;margin-top:-6.15pt;width:.25pt;height:90.6pt;flip:y;z-index:-251657216" o:connectortype="straight" strokeweight=".26mm">
          <v:stroke joinstyle="miter" endcap="square"/>
        </v:shape>
      </w:pict>
    </w:r>
  </w:p>
  <w:p w:rsidR="002C12C7" w:rsidRDefault="002C12C7">
    <w:pPr>
      <w:pStyle w:val="Intestazione"/>
      <w:tabs>
        <w:tab w:val="clear" w:pos="4819"/>
        <w:tab w:val="clear" w:pos="9638"/>
      </w:tabs>
      <w:rPr>
        <w:rFonts w:ascii="Palatino Linotype" w:hAnsi="Palatino Linotype" w:cs="Palatino Linotype"/>
        <w:sz w:val="36"/>
        <w:szCs w:val="36"/>
        <w:lang w:eastAsia="it-IT"/>
      </w:rPr>
    </w:pPr>
    <w:r w:rsidRPr="00991984">
      <w:pict>
        <v:shape id="_x0000_s1026" type="#_x0000_t202" style="position:absolute;margin-left:296.8pt;margin-top:13pt;width:135.7pt;height:16.8pt;z-index:251657216;mso-wrap-distance-left:7.05pt;mso-wrap-distance-right:7.05pt;mso-position-horizontal-relative:page" stroked="f">
          <v:fill opacity="0" color2="black"/>
          <v:textbox inset="0,0,0,0">
            <w:txbxContent>
              <w:tbl>
                <w:tblPr>
                  <w:tblW w:w="0" w:type="auto"/>
                  <w:tblInd w:w="70" w:type="dxa"/>
                  <w:tblLayout w:type="fixed"/>
                  <w:tblCellMar>
                    <w:left w:w="70" w:type="dxa"/>
                    <w:right w:w="70" w:type="dxa"/>
                  </w:tblCellMar>
                  <w:tblLook w:val="0000"/>
                </w:tblPr>
                <w:tblGrid>
                  <w:gridCol w:w="5299"/>
                </w:tblGrid>
                <w:tr w:rsidR="002C12C7">
                  <w:trPr>
                    <w:trHeight w:val="208"/>
                  </w:trPr>
                  <w:tc>
                    <w:tcPr>
                      <w:tcW w:w="5299" w:type="dxa"/>
                      <w:shd w:val="clear" w:color="auto" w:fill="auto"/>
                    </w:tcPr>
                    <w:p w:rsidR="002C12C7" w:rsidRDefault="002C12C7" w:rsidP="006211EE">
                      <w:r>
                        <w:rPr>
                          <w:b/>
                        </w:rPr>
                        <w:t>Servizio Lavori Pubblici</w:t>
                      </w:r>
                    </w:p>
                  </w:tc>
                </w:tr>
                <w:tr w:rsidR="002C12C7">
                  <w:trPr>
                    <w:trHeight w:val="234"/>
                  </w:trPr>
                  <w:tc>
                    <w:tcPr>
                      <w:tcW w:w="5299" w:type="dxa"/>
                      <w:shd w:val="clear" w:color="auto" w:fill="auto"/>
                      <w:vAlign w:val="bottom"/>
                    </w:tcPr>
                    <w:p w:rsidR="002C12C7" w:rsidRPr="001E173A" w:rsidRDefault="002C12C7" w:rsidP="006211EE">
                      <w:pPr>
                        <w:rPr>
                          <w:b/>
                        </w:rPr>
                      </w:pPr>
                    </w:p>
                  </w:tc>
                </w:tr>
                <w:tr w:rsidR="002C12C7">
                  <w:trPr>
                    <w:trHeight w:val="370"/>
                  </w:trPr>
                  <w:tc>
                    <w:tcPr>
                      <w:tcW w:w="5299" w:type="dxa"/>
                      <w:shd w:val="clear" w:color="auto" w:fill="auto"/>
                    </w:tcPr>
                    <w:p w:rsidR="002C12C7" w:rsidRDefault="002C12C7">
                      <w:pPr>
                        <w:snapToGrid w:val="0"/>
                      </w:pPr>
                    </w:p>
                  </w:tc>
                </w:tr>
                <w:tr w:rsidR="002C12C7">
                  <w:trPr>
                    <w:trHeight w:val="80"/>
                  </w:trPr>
                  <w:tc>
                    <w:tcPr>
                      <w:tcW w:w="5299" w:type="dxa"/>
                      <w:shd w:val="clear" w:color="auto" w:fill="auto"/>
                    </w:tcPr>
                    <w:p w:rsidR="002C12C7" w:rsidRDefault="002C12C7">
                      <w:pPr>
                        <w:snapToGrid w:val="0"/>
                      </w:pPr>
                    </w:p>
                  </w:tc>
                </w:tr>
              </w:tbl>
              <w:p w:rsidR="002C12C7" w:rsidRDefault="002C12C7">
                <w:r>
                  <w:t xml:space="preserve"> </w:t>
                </w:r>
              </w:p>
            </w:txbxContent>
          </v:textbox>
          <w10:wrap type="square" anchorx="page"/>
        </v:shape>
      </w:pict>
    </w:r>
  </w:p>
  <w:p w:rsidR="002C12C7" w:rsidRDefault="002C12C7">
    <w:pPr>
      <w:pStyle w:val="Intestazione"/>
      <w:tabs>
        <w:tab w:val="clear" w:pos="4819"/>
        <w:tab w:val="clear" w:pos="9638"/>
      </w:tabs>
      <w:rPr>
        <w:rFonts w:ascii="Palatino Linotype" w:hAnsi="Palatino Linotype" w:cs="Palatino Linotype"/>
        <w:sz w:val="36"/>
        <w:szCs w:val="36"/>
        <w:lang w:eastAsia="it-IT"/>
      </w:rPr>
    </w:pPr>
  </w:p>
  <w:p w:rsidR="002C12C7" w:rsidRDefault="002C12C7">
    <w:pPr>
      <w:pStyle w:val="Intestazione"/>
      <w:pBdr>
        <w:top w:val="none" w:sz="0" w:space="0" w:color="000000"/>
        <w:left w:val="none" w:sz="0" w:space="0" w:color="000000"/>
        <w:bottom w:val="single" w:sz="4" w:space="1" w:color="000000"/>
        <w:right w:val="none" w:sz="0" w:space="0" w:color="000000"/>
      </w:pBdr>
      <w:tabs>
        <w:tab w:val="clear" w:pos="4819"/>
        <w:tab w:val="clear" w:pos="9638"/>
      </w:tabs>
      <w:rPr>
        <w:rFonts w:ascii="Palatino Linotype" w:hAnsi="Palatino Linotype" w:cs="Palatino Linotype"/>
        <w:sz w:val="36"/>
        <w:szCs w:val="36"/>
        <w:lang w:eastAsia="it-IT"/>
      </w:rPr>
    </w:pPr>
  </w:p>
  <w:p w:rsidR="002C12C7" w:rsidRDefault="002C12C7">
    <w:pPr>
      <w:ind w:firstLine="708"/>
      <w:jc w:val="center"/>
      <w:rPr>
        <w:rFonts w:ascii="Palatino Linotype" w:hAnsi="Palatino Linotype" w:cs="Palatino Linotype"/>
        <w:sz w:val="10"/>
        <w:szCs w:val="10"/>
        <w:lang w:eastAsia="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Arial" w:hAnsi="Arial" w:cs="Arial" w:hint="default"/>
        <w:b w:val="0"/>
        <w:i w:val="0"/>
      </w:r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rFonts w:cs="Tahoma"/>
        <w:b/>
      </w:rPr>
    </w:lvl>
  </w:abstractNum>
  <w:abstractNum w:abstractNumId="5">
    <w:nsid w:val="00000006"/>
    <w:multiLevelType w:val="singleLevel"/>
    <w:tmpl w:val="00000006"/>
    <w:name w:val="WW8Num6"/>
    <w:lvl w:ilvl="0">
      <w:start w:val="8"/>
      <w:numFmt w:val="bullet"/>
      <w:lvlText w:val="-"/>
      <w:lvlJc w:val="left"/>
      <w:pPr>
        <w:tabs>
          <w:tab w:val="num" w:pos="0"/>
        </w:tabs>
        <w:ind w:left="585" w:hanging="360"/>
      </w:pPr>
      <w:rPr>
        <w:rFonts w:ascii="Tahoma" w:hAnsi="Tahoma" w:cs="Tahoma" w:hint="default"/>
        <w:b/>
        <w:color w:val="000000"/>
        <w:sz w:val="20"/>
        <w:szCs w:val="20"/>
      </w:rPr>
    </w:lvl>
  </w:abstractNum>
  <w:abstractNum w:abstractNumId="6">
    <w:nsid w:val="0B197ADE"/>
    <w:multiLevelType w:val="hybridMultilevel"/>
    <w:tmpl w:val="F60843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C32578B"/>
    <w:multiLevelType w:val="hybridMultilevel"/>
    <w:tmpl w:val="93BE47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46902A7"/>
    <w:multiLevelType w:val="hybridMultilevel"/>
    <w:tmpl w:val="E93AF6DE"/>
    <w:lvl w:ilvl="0" w:tplc="C1EC0DEE">
      <w:start w:val="2"/>
      <w:numFmt w:val="bullet"/>
      <w:lvlText w:val="-"/>
      <w:lvlJc w:val="left"/>
      <w:pPr>
        <w:tabs>
          <w:tab w:val="num" w:pos="1680"/>
        </w:tabs>
        <w:ind w:left="1680" w:hanging="360"/>
      </w:pPr>
      <w:rPr>
        <w:rFonts w:ascii="Times New Roman" w:eastAsia="Times New Roman" w:hAnsi="Times New Roman" w:cs="Times New Roman" w:hint="default"/>
      </w:rPr>
    </w:lvl>
    <w:lvl w:ilvl="1" w:tplc="C1EC0DEE">
      <w:start w:val="2"/>
      <w:numFmt w:val="bullet"/>
      <w:lvlText w:val="-"/>
      <w:lvlJc w:val="left"/>
      <w:pPr>
        <w:tabs>
          <w:tab w:val="num" w:pos="2400"/>
        </w:tabs>
        <w:ind w:left="2400" w:hanging="360"/>
      </w:pPr>
      <w:rPr>
        <w:rFonts w:ascii="Times New Roman" w:eastAsia="Times New Roman" w:hAnsi="Times New Roman" w:cs="Times New Roman" w:hint="default"/>
      </w:rPr>
    </w:lvl>
    <w:lvl w:ilvl="2" w:tplc="04100005" w:tentative="1">
      <w:start w:val="1"/>
      <w:numFmt w:val="bullet"/>
      <w:lvlText w:val=""/>
      <w:lvlJc w:val="left"/>
      <w:pPr>
        <w:tabs>
          <w:tab w:val="num" w:pos="3120"/>
        </w:tabs>
        <w:ind w:left="3120" w:hanging="360"/>
      </w:pPr>
      <w:rPr>
        <w:rFonts w:ascii="Wingdings" w:hAnsi="Wingdings" w:hint="default"/>
      </w:rPr>
    </w:lvl>
    <w:lvl w:ilvl="3" w:tplc="04100001" w:tentative="1">
      <w:start w:val="1"/>
      <w:numFmt w:val="bullet"/>
      <w:lvlText w:val=""/>
      <w:lvlJc w:val="left"/>
      <w:pPr>
        <w:tabs>
          <w:tab w:val="num" w:pos="3840"/>
        </w:tabs>
        <w:ind w:left="3840" w:hanging="360"/>
      </w:pPr>
      <w:rPr>
        <w:rFonts w:ascii="Symbol" w:hAnsi="Symbol" w:hint="default"/>
      </w:rPr>
    </w:lvl>
    <w:lvl w:ilvl="4" w:tplc="04100003" w:tentative="1">
      <w:start w:val="1"/>
      <w:numFmt w:val="bullet"/>
      <w:lvlText w:val="o"/>
      <w:lvlJc w:val="left"/>
      <w:pPr>
        <w:tabs>
          <w:tab w:val="num" w:pos="4560"/>
        </w:tabs>
        <w:ind w:left="4560" w:hanging="360"/>
      </w:pPr>
      <w:rPr>
        <w:rFonts w:ascii="Courier New" w:hAnsi="Courier New" w:hint="default"/>
      </w:rPr>
    </w:lvl>
    <w:lvl w:ilvl="5" w:tplc="04100005" w:tentative="1">
      <w:start w:val="1"/>
      <w:numFmt w:val="bullet"/>
      <w:lvlText w:val=""/>
      <w:lvlJc w:val="left"/>
      <w:pPr>
        <w:tabs>
          <w:tab w:val="num" w:pos="5280"/>
        </w:tabs>
        <w:ind w:left="5280" w:hanging="360"/>
      </w:pPr>
      <w:rPr>
        <w:rFonts w:ascii="Wingdings" w:hAnsi="Wingdings" w:hint="default"/>
      </w:rPr>
    </w:lvl>
    <w:lvl w:ilvl="6" w:tplc="04100001" w:tentative="1">
      <w:start w:val="1"/>
      <w:numFmt w:val="bullet"/>
      <w:lvlText w:val=""/>
      <w:lvlJc w:val="left"/>
      <w:pPr>
        <w:tabs>
          <w:tab w:val="num" w:pos="6000"/>
        </w:tabs>
        <w:ind w:left="6000" w:hanging="360"/>
      </w:pPr>
      <w:rPr>
        <w:rFonts w:ascii="Symbol" w:hAnsi="Symbol" w:hint="default"/>
      </w:rPr>
    </w:lvl>
    <w:lvl w:ilvl="7" w:tplc="04100003" w:tentative="1">
      <w:start w:val="1"/>
      <w:numFmt w:val="bullet"/>
      <w:lvlText w:val="o"/>
      <w:lvlJc w:val="left"/>
      <w:pPr>
        <w:tabs>
          <w:tab w:val="num" w:pos="6720"/>
        </w:tabs>
        <w:ind w:left="6720" w:hanging="360"/>
      </w:pPr>
      <w:rPr>
        <w:rFonts w:ascii="Courier New" w:hAnsi="Courier New" w:hint="default"/>
      </w:rPr>
    </w:lvl>
    <w:lvl w:ilvl="8" w:tplc="04100005" w:tentative="1">
      <w:start w:val="1"/>
      <w:numFmt w:val="bullet"/>
      <w:lvlText w:val=""/>
      <w:lvlJc w:val="left"/>
      <w:pPr>
        <w:tabs>
          <w:tab w:val="num" w:pos="7440"/>
        </w:tabs>
        <w:ind w:left="7440" w:hanging="360"/>
      </w:pPr>
      <w:rPr>
        <w:rFonts w:ascii="Wingdings" w:hAnsi="Wingdings" w:hint="default"/>
      </w:rPr>
    </w:lvl>
  </w:abstractNum>
  <w:abstractNum w:abstractNumId="9">
    <w:nsid w:val="2E716A7C"/>
    <w:multiLevelType w:val="hybridMultilevel"/>
    <w:tmpl w:val="B1E8AC4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0A85FA0"/>
    <w:multiLevelType w:val="hybridMultilevel"/>
    <w:tmpl w:val="9C76CEBE"/>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935427"/>
    <w:multiLevelType w:val="hybridMultilevel"/>
    <w:tmpl w:val="5E1E0A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BF7241A"/>
    <w:multiLevelType w:val="hybridMultilevel"/>
    <w:tmpl w:val="C3AC59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F2B177D"/>
    <w:multiLevelType w:val="hybridMultilevel"/>
    <w:tmpl w:val="8D60240E"/>
    <w:lvl w:ilvl="0" w:tplc="5C50D52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5FE7626"/>
    <w:multiLevelType w:val="hybridMultilevel"/>
    <w:tmpl w:val="2A52D74A"/>
    <w:lvl w:ilvl="0" w:tplc="04100001">
      <w:start w:val="1"/>
      <w:numFmt w:val="bullet"/>
      <w:lvlText w:val=""/>
      <w:lvlJc w:val="left"/>
      <w:pPr>
        <w:tabs>
          <w:tab w:val="num" w:pos="1680"/>
        </w:tabs>
        <w:ind w:left="1680" w:hanging="360"/>
      </w:pPr>
      <w:rPr>
        <w:rFonts w:ascii="Symbol" w:hAnsi="Symbol" w:hint="default"/>
      </w:rPr>
    </w:lvl>
    <w:lvl w:ilvl="1" w:tplc="C1EC0DEE">
      <w:start w:val="2"/>
      <w:numFmt w:val="bullet"/>
      <w:lvlText w:val="-"/>
      <w:lvlJc w:val="left"/>
      <w:pPr>
        <w:tabs>
          <w:tab w:val="num" w:pos="2400"/>
        </w:tabs>
        <w:ind w:left="2400" w:hanging="360"/>
      </w:pPr>
      <w:rPr>
        <w:rFonts w:ascii="Times New Roman" w:eastAsia="Times New Roman" w:hAnsi="Times New Roman" w:cs="Times New Roman" w:hint="default"/>
      </w:rPr>
    </w:lvl>
    <w:lvl w:ilvl="2" w:tplc="04100005" w:tentative="1">
      <w:start w:val="1"/>
      <w:numFmt w:val="bullet"/>
      <w:lvlText w:val=""/>
      <w:lvlJc w:val="left"/>
      <w:pPr>
        <w:tabs>
          <w:tab w:val="num" w:pos="3120"/>
        </w:tabs>
        <w:ind w:left="3120" w:hanging="360"/>
      </w:pPr>
      <w:rPr>
        <w:rFonts w:ascii="Wingdings" w:hAnsi="Wingdings" w:hint="default"/>
      </w:rPr>
    </w:lvl>
    <w:lvl w:ilvl="3" w:tplc="04100001" w:tentative="1">
      <w:start w:val="1"/>
      <w:numFmt w:val="bullet"/>
      <w:lvlText w:val=""/>
      <w:lvlJc w:val="left"/>
      <w:pPr>
        <w:tabs>
          <w:tab w:val="num" w:pos="3840"/>
        </w:tabs>
        <w:ind w:left="3840" w:hanging="360"/>
      </w:pPr>
      <w:rPr>
        <w:rFonts w:ascii="Symbol" w:hAnsi="Symbol" w:hint="default"/>
      </w:rPr>
    </w:lvl>
    <w:lvl w:ilvl="4" w:tplc="04100003" w:tentative="1">
      <w:start w:val="1"/>
      <w:numFmt w:val="bullet"/>
      <w:lvlText w:val="o"/>
      <w:lvlJc w:val="left"/>
      <w:pPr>
        <w:tabs>
          <w:tab w:val="num" w:pos="4560"/>
        </w:tabs>
        <w:ind w:left="4560" w:hanging="360"/>
      </w:pPr>
      <w:rPr>
        <w:rFonts w:ascii="Courier New" w:hAnsi="Courier New" w:hint="default"/>
      </w:rPr>
    </w:lvl>
    <w:lvl w:ilvl="5" w:tplc="04100005" w:tentative="1">
      <w:start w:val="1"/>
      <w:numFmt w:val="bullet"/>
      <w:lvlText w:val=""/>
      <w:lvlJc w:val="left"/>
      <w:pPr>
        <w:tabs>
          <w:tab w:val="num" w:pos="5280"/>
        </w:tabs>
        <w:ind w:left="5280" w:hanging="360"/>
      </w:pPr>
      <w:rPr>
        <w:rFonts w:ascii="Wingdings" w:hAnsi="Wingdings" w:hint="default"/>
      </w:rPr>
    </w:lvl>
    <w:lvl w:ilvl="6" w:tplc="04100001" w:tentative="1">
      <w:start w:val="1"/>
      <w:numFmt w:val="bullet"/>
      <w:lvlText w:val=""/>
      <w:lvlJc w:val="left"/>
      <w:pPr>
        <w:tabs>
          <w:tab w:val="num" w:pos="6000"/>
        </w:tabs>
        <w:ind w:left="6000" w:hanging="360"/>
      </w:pPr>
      <w:rPr>
        <w:rFonts w:ascii="Symbol" w:hAnsi="Symbol" w:hint="default"/>
      </w:rPr>
    </w:lvl>
    <w:lvl w:ilvl="7" w:tplc="04100003" w:tentative="1">
      <w:start w:val="1"/>
      <w:numFmt w:val="bullet"/>
      <w:lvlText w:val="o"/>
      <w:lvlJc w:val="left"/>
      <w:pPr>
        <w:tabs>
          <w:tab w:val="num" w:pos="6720"/>
        </w:tabs>
        <w:ind w:left="6720" w:hanging="360"/>
      </w:pPr>
      <w:rPr>
        <w:rFonts w:ascii="Courier New" w:hAnsi="Courier New" w:hint="default"/>
      </w:rPr>
    </w:lvl>
    <w:lvl w:ilvl="8" w:tplc="04100005" w:tentative="1">
      <w:start w:val="1"/>
      <w:numFmt w:val="bullet"/>
      <w:lvlText w:val=""/>
      <w:lvlJc w:val="left"/>
      <w:pPr>
        <w:tabs>
          <w:tab w:val="num" w:pos="7440"/>
        </w:tabs>
        <w:ind w:left="7440" w:hanging="360"/>
      </w:pPr>
      <w:rPr>
        <w:rFonts w:ascii="Wingdings" w:hAnsi="Wingdings" w:hint="default"/>
      </w:rPr>
    </w:lvl>
  </w:abstractNum>
  <w:abstractNum w:abstractNumId="15">
    <w:nsid w:val="53DD0C08"/>
    <w:multiLevelType w:val="hybridMultilevel"/>
    <w:tmpl w:val="5A2E3242"/>
    <w:lvl w:ilvl="0" w:tplc="9CCCC92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D70D7A"/>
    <w:multiLevelType w:val="hybridMultilevel"/>
    <w:tmpl w:val="48E61B88"/>
    <w:lvl w:ilvl="0" w:tplc="05FCCE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515213C"/>
    <w:multiLevelType w:val="hybridMultilevel"/>
    <w:tmpl w:val="59EE69CA"/>
    <w:lvl w:ilvl="0" w:tplc="9CCCC92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C01BEF"/>
    <w:multiLevelType w:val="hybridMultilevel"/>
    <w:tmpl w:val="C7048E6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86E0594"/>
    <w:multiLevelType w:val="hybridMultilevel"/>
    <w:tmpl w:val="9FC23D6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AE92DBF"/>
    <w:multiLevelType w:val="hybridMultilevel"/>
    <w:tmpl w:val="D09C6F46"/>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EA75EF3"/>
    <w:multiLevelType w:val="hybridMultilevel"/>
    <w:tmpl w:val="B7C8024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46E00AE"/>
    <w:multiLevelType w:val="hybridMultilevel"/>
    <w:tmpl w:val="6F0220C6"/>
    <w:lvl w:ilvl="0" w:tplc="2BC0B16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306874"/>
    <w:multiLevelType w:val="multilevel"/>
    <w:tmpl w:val="729087D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BDC7A91"/>
    <w:multiLevelType w:val="hybridMultilevel"/>
    <w:tmpl w:val="D6A285EE"/>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1"/>
  </w:num>
  <w:num w:numId="9">
    <w:abstractNumId w:val="13"/>
  </w:num>
  <w:num w:numId="10">
    <w:abstractNumId w:val="15"/>
  </w:num>
  <w:num w:numId="11">
    <w:abstractNumId w:val="22"/>
  </w:num>
  <w:num w:numId="12">
    <w:abstractNumId w:val="12"/>
  </w:num>
  <w:num w:numId="13">
    <w:abstractNumId w:val="20"/>
  </w:num>
  <w:num w:numId="14">
    <w:abstractNumId w:val="23"/>
  </w:num>
  <w:num w:numId="15">
    <w:abstractNumId w:val="24"/>
  </w:num>
  <w:num w:numId="16">
    <w:abstractNumId w:val="10"/>
  </w:num>
  <w:num w:numId="17">
    <w:abstractNumId w:val="17"/>
  </w:num>
  <w:num w:numId="18">
    <w:abstractNumId w:val="6"/>
  </w:num>
  <w:num w:numId="19">
    <w:abstractNumId w:val="19"/>
  </w:num>
  <w:num w:numId="20">
    <w:abstractNumId w:val="7"/>
  </w:num>
  <w:num w:numId="21">
    <w:abstractNumId w:val="11"/>
  </w:num>
  <w:num w:numId="22">
    <w:abstractNumId w:val="18"/>
  </w:num>
  <w:num w:numId="23">
    <w:abstractNumId w:val="14"/>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hdrShapeDefaults>
    <o:shapedefaults v:ext="edit" spidmax="2050"/>
    <o:shapelayout v:ext="edit">
      <o:idmap v:ext="edit" data="1"/>
      <o:rules v:ext="edit">
        <o:r id="V:Rule2" type="connector" idref="#_x0000_s10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78F9"/>
    <w:rsid w:val="000322D2"/>
    <w:rsid w:val="000501A8"/>
    <w:rsid w:val="00095276"/>
    <w:rsid w:val="000972BF"/>
    <w:rsid w:val="000C115E"/>
    <w:rsid w:val="000C2835"/>
    <w:rsid w:val="000E0737"/>
    <w:rsid w:val="000E0790"/>
    <w:rsid w:val="0010174C"/>
    <w:rsid w:val="00110C6B"/>
    <w:rsid w:val="0011158D"/>
    <w:rsid w:val="00114472"/>
    <w:rsid w:val="00114D4E"/>
    <w:rsid w:val="001152C4"/>
    <w:rsid w:val="00115457"/>
    <w:rsid w:val="00125AF9"/>
    <w:rsid w:val="00133C92"/>
    <w:rsid w:val="00141873"/>
    <w:rsid w:val="00142749"/>
    <w:rsid w:val="0014682F"/>
    <w:rsid w:val="0017567F"/>
    <w:rsid w:val="001B5F46"/>
    <w:rsid w:val="001E173A"/>
    <w:rsid w:val="00222F2C"/>
    <w:rsid w:val="002324D2"/>
    <w:rsid w:val="002369B2"/>
    <w:rsid w:val="00237FAF"/>
    <w:rsid w:val="00241C52"/>
    <w:rsid w:val="0025516B"/>
    <w:rsid w:val="00260D7C"/>
    <w:rsid w:val="002778F9"/>
    <w:rsid w:val="00281C68"/>
    <w:rsid w:val="002A530B"/>
    <w:rsid w:val="002B3A26"/>
    <w:rsid w:val="002C12C7"/>
    <w:rsid w:val="00300031"/>
    <w:rsid w:val="003021F8"/>
    <w:rsid w:val="0031445B"/>
    <w:rsid w:val="00316822"/>
    <w:rsid w:val="003569C2"/>
    <w:rsid w:val="0036118A"/>
    <w:rsid w:val="00362A8C"/>
    <w:rsid w:val="00365B2C"/>
    <w:rsid w:val="003824E4"/>
    <w:rsid w:val="00384542"/>
    <w:rsid w:val="00390FFD"/>
    <w:rsid w:val="00391163"/>
    <w:rsid w:val="0039328B"/>
    <w:rsid w:val="00394EA5"/>
    <w:rsid w:val="003A2D2F"/>
    <w:rsid w:val="003B45C0"/>
    <w:rsid w:val="003C1F19"/>
    <w:rsid w:val="003C3A87"/>
    <w:rsid w:val="003F1342"/>
    <w:rsid w:val="00400ECE"/>
    <w:rsid w:val="00411229"/>
    <w:rsid w:val="004126EC"/>
    <w:rsid w:val="004140D8"/>
    <w:rsid w:val="0042266F"/>
    <w:rsid w:val="00471179"/>
    <w:rsid w:val="004C0BC9"/>
    <w:rsid w:val="004C3F95"/>
    <w:rsid w:val="00502988"/>
    <w:rsid w:val="00505102"/>
    <w:rsid w:val="00506AEB"/>
    <w:rsid w:val="0053515B"/>
    <w:rsid w:val="00536F5A"/>
    <w:rsid w:val="005465F4"/>
    <w:rsid w:val="00564033"/>
    <w:rsid w:val="00575FF7"/>
    <w:rsid w:val="005910B4"/>
    <w:rsid w:val="005B0EE6"/>
    <w:rsid w:val="005B49EF"/>
    <w:rsid w:val="006033A0"/>
    <w:rsid w:val="0061209C"/>
    <w:rsid w:val="006211EE"/>
    <w:rsid w:val="00635B84"/>
    <w:rsid w:val="006461C0"/>
    <w:rsid w:val="00651534"/>
    <w:rsid w:val="006639DC"/>
    <w:rsid w:val="00682B84"/>
    <w:rsid w:val="00685B83"/>
    <w:rsid w:val="006A2759"/>
    <w:rsid w:val="006B4EA4"/>
    <w:rsid w:val="006B7E8A"/>
    <w:rsid w:val="006F46C5"/>
    <w:rsid w:val="00733FE5"/>
    <w:rsid w:val="00754004"/>
    <w:rsid w:val="00766A9A"/>
    <w:rsid w:val="00784AEA"/>
    <w:rsid w:val="007D012D"/>
    <w:rsid w:val="007E0BF4"/>
    <w:rsid w:val="007E6EAB"/>
    <w:rsid w:val="008056FD"/>
    <w:rsid w:val="00823204"/>
    <w:rsid w:val="00826EA9"/>
    <w:rsid w:val="0083015C"/>
    <w:rsid w:val="00837F6C"/>
    <w:rsid w:val="00842183"/>
    <w:rsid w:val="00843B44"/>
    <w:rsid w:val="00857AC2"/>
    <w:rsid w:val="00857C31"/>
    <w:rsid w:val="00860C4E"/>
    <w:rsid w:val="008676C4"/>
    <w:rsid w:val="008816B6"/>
    <w:rsid w:val="00903E0A"/>
    <w:rsid w:val="009365C0"/>
    <w:rsid w:val="00981676"/>
    <w:rsid w:val="00984428"/>
    <w:rsid w:val="00984A43"/>
    <w:rsid w:val="00984DAA"/>
    <w:rsid w:val="00991984"/>
    <w:rsid w:val="009921FB"/>
    <w:rsid w:val="009B1C70"/>
    <w:rsid w:val="009B3CBF"/>
    <w:rsid w:val="009C1A72"/>
    <w:rsid w:val="009E21B7"/>
    <w:rsid w:val="00A063F4"/>
    <w:rsid w:val="00A1208C"/>
    <w:rsid w:val="00A23D65"/>
    <w:rsid w:val="00A34B46"/>
    <w:rsid w:val="00A549B2"/>
    <w:rsid w:val="00AA41AD"/>
    <w:rsid w:val="00AA5824"/>
    <w:rsid w:val="00AA7D08"/>
    <w:rsid w:val="00AB4209"/>
    <w:rsid w:val="00AC239C"/>
    <w:rsid w:val="00AF2830"/>
    <w:rsid w:val="00B06100"/>
    <w:rsid w:val="00B30C2F"/>
    <w:rsid w:val="00B43250"/>
    <w:rsid w:val="00B5573D"/>
    <w:rsid w:val="00B67509"/>
    <w:rsid w:val="00B708E1"/>
    <w:rsid w:val="00B76766"/>
    <w:rsid w:val="00B77491"/>
    <w:rsid w:val="00B817FF"/>
    <w:rsid w:val="00B97C5D"/>
    <w:rsid w:val="00BA115E"/>
    <w:rsid w:val="00BA37C1"/>
    <w:rsid w:val="00BB3FBA"/>
    <w:rsid w:val="00BE07A2"/>
    <w:rsid w:val="00BF79FF"/>
    <w:rsid w:val="00C10E0D"/>
    <w:rsid w:val="00C13A7F"/>
    <w:rsid w:val="00C241AB"/>
    <w:rsid w:val="00C56592"/>
    <w:rsid w:val="00C56D9B"/>
    <w:rsid w:val="00C71B72"/>
    <w:rsid w:val="00C73DFE"/>
    <w:rsid w:val="00C87B29"/>
    <w:rsid w:val="00CA2BD5"/>
    <w:rsid w:val="00CB5F5C"/>
    <w:rsid w:val="00CD0864"/>
    <w:rsid w:val="00CD41D3"/>
    <w:rsid w:val="00CD73BB"/>
    <w:rsid w:val="00CE1161"/>
    <w:rsid w:val="00CF498D"/>
    <w:rsid w:val="00D03E0E"/>
    <w:rsid w:val="00D16087"/>
    <w:rsid w:val="00D37FBC"/>
    <w:rsid w:val="00D76C09"/>
    <w:rsid w:val="00D96862"/>
    <w:rsid w:val="00D96A53"/>
    <w:rsid w:val="00DB0EC9"/>
    <w:rsid w:val="00DB1259"/>
    <w:rsid w:val="00DB459E"/>
    <w:rsid w:val="00DB5E29"/>
    <w:rsid w:val="00DD70A2"/>
    <w:rsid w:val="00E31FEC"/>
    <w:rsid w:val="00E66D4A"/>
    <w:rsid w:val="00E75F93"/>
    <w:rsid w:val="00EA7245"/>
    <w:rsid w:val="00EC0181"/>
    <w:rsid w:val="00ED5C73"/>
    <w:rsid w:val="00EE53F8"/>
    <w:rsid w:val="00EE5748"/>
    <w:rsid w:val="00EF0E6F"/>
    <w:rsid w:val="00F072AF"/>
    <w:rsid w:val="00F20A7E"/>
    <w:rsid w:val="00F43411"/>
    <w:rsid w:val="00F4752D"/>
    <w:rsid w:val="00F6238F"/>
    <w:rsid w:val="00F64A4E"/>
    <w:rsid w:val="00F90590"/>
    <w:rsid w:val="00FD03E4"/>
    <w:rsid w:val="00FF42B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78F9"/>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qFormat/>
    <w:rsid w:val="002778F9"/>
    <w:pPr>
      <w:keepNext/>
      <w:tabs>
        <w:tab w:val="num" w:pos="0"/>
      </w:tabs>
      <w:spacing w:before="280" w:after="280" w:line="120" w:lineRule="atLeast"/>
      <w:ind w:left="432" w:hanging="432"/>
      <w:jc w:val="right"/>
      <w:outlineLvl w:val="0"/>
    </w:pPr>
    <w:rPr>
      <w:rFonts w:ascii="Palatino Linotype" w:hAnsi="Palatino Linotype" w:cs="Palatino Linotype"/>
      <w:sz w:val="32"/>
      <w:szCs w:val="32"/>
    </w:rPr>
  </w:style>
  <w:style w:type="paragraph" w:styleId="Titolo4">
    <w:name w:val="heading 4"/>
    <w:basedOn w:val="Normale"/>
    <w:next w:val="Normale"/>
    <w:link w:val="Titolo4Carattere"/>
    <w:qFormat/>
    <w:rsid w:val="002778F9"/>
    <w:pPr>
      <w:keepNext/>
      <w:keepLines/>
      <w:tabs>
        <w:tab w:val="num" w:pos="0"/>
      </w:tabs>
      <w:spacing w:before="200"/>
      <w:ind w:left="864" w:hanging="864"/>
      <w:outlineLvl w:val="3"/>
    </w:pPr>
    <w:rPr>
      <w:rFonts w:ascii="Cambria" w:hAnsi="Cambria" w:cs="Cambria"/>
      <w:b/>
      <w:bCs/>
      <w:i/>
      <w:iCs/>
      <w:color w:val="4F81BD"/>
    </w:rPr>
  </w:style>
  <w:style w:type="paragraph" w:styleId="Titolo5">
    <w:name w:val="heading 5"/>
    <w:basedOn w:val="Normale"/>
    <w:next w:val="Normale"/>
    <w:link w:val="Titolo5Carattere"/>
    <w:qFormat/>
    <w:rsid w:val="002778F9"/>
    <w:pPr>
      <w:keepNext/>
      <w:tabs>
        <w:tab w:val="num" w:pos="0"/>
      </w:tabs>
      <w:ind w:left="-180" w:firstLine="7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78F9"/>
    <w:rPr>
      <w:rFonts w:ascii="Palatino Linotype" w:hAnsi="Palatino Linotype" w:cs="Palatino Linotype"/>
      <w:sz w:val="32"/>
      <w:szCs w:val="32"/>
      <w:lang w:val="it-IT" w:eastAsia="zh-CN" w:bidi="ar-SA"/>
    </w:rPr>
  </w:style>
  <w:style w:type="character" w:customStyle="1" w:styleId="Titolo4Carattere">
    <w:name w:val="Titolo 4 Carattere"/>
    <w:basedOn w:val="Carpredefinitoparagrafo"/>
    <w:link w:val="Titolo4"/>
    <w:rsid w:val="002778F9"/>
    <w:rPr>
      <w:rFonts w:ascii="Cambria" w:hAnsi="Cambria" w:cs="Cambria"/>
      <w:b/>
      <w:bCs/>
      <w:i/>
      <w:iCs/>
      <w:color w:val="4F81BD"/>
      <w:sz w:val="24"/>
      <w:szCs w:val="24"/>
      <w:lang w:val="it-IT" w:eastAsia="zh-CN" w:bidi="ar-SA"/>
    </w:rPr>
  </w:style>
  <w:style w:type="character" w:customStyle="1" w:styleId="Titolo5Carattere">
    <w:name w:val="Titolo 5 Carattere"/>
    <w:basedOn w:val="Carpredefinitoparagrafo"/>
    <w:link w:val="Titolo5"/>
    <w:rsid w:val="002778F9"/>
    <w:rPr>
      <w:b/>
      <w:bCs/>
      <w:sz w:val="24"/>
      <w:szCs w:val="24"/>
      <w:lang w:val="it-IT" w:eastAsia="zh-CN" w:bidi="ar-SA"/>
    </w:rPr>
  </w:style>
  <w:style w:type="character" w:styleId="Collegamentoipertestuale">
    <w:name w:val="Hyperlink"/>
    <w:basedOn w:val="Carpredefinitoparagrafo"/>
    <w:rsid w:val="002778F9"/>
    <w:rPr>
      <w:color w:val="0000FF"/>
      <w:u w:val="single"/>
    </w:rPr>
  </w:style>
  <w:style w:type="paragraph" w:styleId="Intestazione">
    <w:name w:val="header"/>
    <w:basedOn w:val="Normale"/>
    <w:link w:val="IntestazioneCarattere"/>
    <w:rsid w:val="002778F9"/>
    <w:pPr>
      <w:tabs>
        <w:tab w:val="center" w:pos="4819"/>
        <w:tab w:val="right" w:pos="9638"/>
      </w:tabs>
    </w:pPr>
  </w:style>
  <w:style w:type="character" w:customStyle="1" w:styleId="IntestazioneCarattere">
    <w:name w:val="Intestazione Carattere"/>
    <w:basedOn w:val="Carpredefinitoparagrafo"/>
    <w:link w:val="Intestazione"/>
    <w:rsid w:val="002778F9"/>
    <w:rPr>
      <w:rFonts w:ascii="Times New Roman" w:eastAsia="Times New Roman" w:hAnsi="Times New Roman" w:cs="Times New Roman"/>
      <w:sz w:val="24"/>
      <w:szCs w:val="24"/>
      <w:lang w:eastAsia="zh-CN"/>
    </w:rPr>
  </w:style>
  <w:style w:type="paragraph" w:styleId="Pidipagina">
    <w:name w:val="footer"/>
    <w:basedOn w:val="Normale"/>
    <w:link w:val="PidipaginaCarattere"/>
    <w:rsid w:val="002778F9"/>
    <w:pPr>
      <w:tabs>
        <w:tab w:val="center" w:pos="4819"/>
        <w:tab w:val="right" w:pos="9638"/>
      </w:tabs>
    </w:pPr>
  </w:style>
  <w:style w:type="character" w:customStyle="1" w:styleId="PidipaginaCarattere">
    <w:name w:val="Piè di pagina Carattere"/>
    <w:basedOn w:val="Carpredefinitoparagrafo"/>
    <w:link w:val="Pidipagina"/>
    <w:rsid w:val="002778F9"/>
    <w:rPr>
      <w:rFonts w:ascii="Times New Roman" w:eastAsia="Times New Roman" w:hAnsi="Times New Roman" w:cs="Times New Roman"/>
      <w:sz w:val="24"/>
      <w:szCs w:val="24"/>
      <w:lang w:eastAsia="zh-CN"/>
    </w:rPr>
  </w:style>
  <w:style w:type="paragraph" w:customStyle="1" w:styleId="Normale1">
    <w:name w:val="Normale1"/>
    <w:basedOn w:val="Normale"/>
    <w:rsid w:val="002778F9"/>
    <w:pPr>
      <w:spacing w:line="360" w:lineRule="auto"/>
      <w:jc w:val="both"/>
    </w:pPr>
    <w:rPr>
      <w:rFonts w:ascii="Arial" w:hAnsi="Arial" w:cs="Arial"/>
      <w:szCs w:val="20"/>
    </w:rPr>
  </w:style>
  <w:style w:type="paragraph" w:customStyle="1" w:styleId="western">
    <w:name w:val="western"/>
    <w:basedOn w:val="Normale"/>
    <w:uiPriority w:val="99"/>
    <w:rsid w:val="0042266F"/>
    <w:pPr>
      <w:suppressAutoHyphens w:val="0"/>
      <w:spacing w:beforeAutospacing="1" w:after="142" w:line="288" w:lineRule="auto"/>
    </w:pPr>
    <w:rPr>
      <w:color w:val="000000"/>
      <w:lang w:eastAsia="it-IT"/>
    </w:rPr>
  </w:style>
  <w:style w:type="paragraph" w:styleId="Rientrocorpodeltesto2">
    <w:name w:val="Body Text Indent 2"/>
    <w:basedOn w:val="Normale"/>
    <w:link w:val="Rientrocorpodeltesto2Carattere"/>
    <w:semiHidden/>
    <w:rsid w:val="00EF0E6F"/>
    <w:pPr>
      <w:suppressAutoHyphens w:val="0"/>
      <w:ind w:firstLine="708"/>
      <w:jc w:val="both"/>
    </w:pPr>
    <w:rPr>
      <w:rFonts w:ascii="Arial" w:hAnsi="Arial" w:cs="Arial"/>
      <w:szCs w:val="20"/>
      <w:lang w:eastAsia="it-IT"/>
    </w:rPr>
  </w:style>
  <w:style w:type="character" w:customStyle="1" w:styleId="Rientrocorpodeltesto2Carattere">
    <w:name w:val="Rientro corpo del testo 2 Carattere"/>
    <w:basedOn w:val="Carpredefinitoparagrafo"/>
    <w:link w:val="Rientrocorpodeltesto2"/>
    <w:semiHidden/>
    <w:rsid w:val="00EF0E6F"/>
    <w:rPr>
      <w:rFonts w:ascii="Arial" w:eastAsia="Times New Roman" w:hAnsi="Arial" w:cs="Arial"/>
      <w:sz w:val="24"/>
    </w:rPr>
  </w:style>
  <w:style w:type="paragraph" w:customStyle="1" w:styleId="Default">
    <w:name w:val="Default"/>
    <w:rsid w:val="00B30C2F"/>
    <w:pPr>
      <w:autoSpaceDE w:val="0"/>
      <w:autoSpaceDN w:val="0"/>
      <w:adjustRightInd w:val="0"/>
    </w:pPr>
    <w:rPr>
      <w:rFonts w:ascii="Verdana" w:hAnsi="Verdana" w:cs="Verdana"/>
      <w:color w:val="000000"/>
      <w:sz w:val="24"/>
      <w:szCs w:val="24"/>
      <w:lang w:eastAsia="en-US"/>
    </w:rPr>
  </w:style>
  <w:style w:type="character" w:styleId="Rimandonotaapidipagina">
    <w:name w:val="footnote reference"/>
    <w:uiPriority w:val="99"/>
    <w:unhideWhenUsed/>
    <w:rsid w:val="00B817FF"/>
    <w:rPr>
      <w:vertAlign w:val="superscript"/>
    </w:rPr>
  </w:style>
  <w:style w:type="paragraph" w:styleId="Testonotaapidipagina">
    <w:name w:val="footnote text"/>
    <w:basedOn w:val="Normale"/>
    <w:link w:val="TestonotaapidipaginaCarattere"/>
    <w:uiPriority w:val="99"/>
    <w:unhideWhenUsed/>
    <w:rsid w:val="00B817FF"/>
    <w:pPr>
      <w:widowControl w:val="0"/>
      <w:suppressAutoHyphens w:val="0"/>
    </w:pPr>
    <w:rPr>
      <w:rFonts w:ascii="Calibri" w:eastAsia="Calibri" w:hAnsi="Calibri"/>
    </w:rPr>
  </w:style>
  <w:style w:type="character" w:customStyle="1" w:styleId="TestonotaapidipaginaCarattere">
    <w:name w:val="Testo nota a piè di pagina Carattere"/>
    <w:basedOn w:val="Carpredefinitoparagrafo"/>
    <w:link w:val="Testonotaapidipagina"/>
    <w:uiPriority w:val="99"/>
    <w:rsid w:val="00B817FF"/>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oneddu@comune.collesalvetti.l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carpi@comune.collesalvetti.l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neddu@comune.collesalvetti.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allavalle@comune.collesalvetti.li.it" TargetMode="External"/><Relationship Id="rId4" Type="http://schemas.openxmlformats.org/officeDocument/2006/relationships/settings" Target="settings.xml"/><Relationship Id="rId9" Type="http://schemas.openxmlformats.org/officeDocument/2006/relationships/hyperlink" Target="mailto:m.lischi@comune.collesalvetti.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4C986-274F-4CD6-BF2F-FCB7F81D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1970</Words>
  <Characters>11230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AVVISO PUBBLICO</vt:lpstr>
    </vt:vector>
  </TitlesOfParts>
  <Company>Microsoft</Company>
  <LinksUpToDate>false</LinksUpToDate>
  <CharactersWithSpaces>13174</CharactersWithSpaces>
  <SharedDoc>false</SharedDoc>
  <HLinks>
    <vt:vector size="48" baseType="variant">
      <vt:variant>
        <vt:i4>327784</vt:i4>
      </vt:variant>
      <vt:variant>
        <vt:i4>21</vt:i4>
      </vt:variant>
      <vt:variant>
        <vt:i4>0</vt:i4>
      </vt:variant>
      <vt:variant>
        <vt:i4>5</vt:i4>
      </vt:variant>
      <vt:variant>
        <vt:lpwstr>mailto:r.carpi@comune.collesalvetti.li.it</vt:lpwstr>
      </vt:variant>
      <vt:variant>
        <vt:lpwstr/>
      </vt:variant>
      <vt:variant>
        <vt:i4>6422531</vt:i4>
      </vt:variant>
      <vt:variant>
        <vt:i4>18</vt:i4>
      </vt:variant>
      <vt:variant>
        <vt:i4>0</vt:i4>
      </vt:variant>
      <vt:variant>
        <vt:i4>5</vt:i4>
      </vt:variant>
      <vt:variant>
        <vt:lpwstr>mailto:g.giovacchini@comune.collesalvetti.li.it</vt:lpwstr>
      </vt:variant>
      <vt:variant>
        <vt:lpwstr/>
      </vt:variant>
      <vt:variant>
        <vt:i4>1835131</vt:i4>
      </vt:variant>
      <vt:variant>
        <vt:i4>15</vt:i4>
      </vt:variant>
      <vt:variant>
        <vt:i4>0</vt:i4>
      </vt:variant>
      <vt:variant>
        <vt:i4>5</vt:i4>
      </vt:variant>
      <vt:variant>
        <vt:lpwstr>mailto:s.dallavalle@comune.collesalvetti.li.it</vt:lpwstr>
      </vt:variant>
      <vt:variant>
        <vt:lpwstr/>
      </vt:variant>
      <vt:variant>
        <vt:i4>1114218</vt:i4>
      </vt:variant>
      <vt:variant>
        <vt:i4>12</vt:i4>
      </vt:variant>
      <vt:variant>
        <vt:i4>0</vt:i4>
      </vt:variant>
      <vt:variant>
        <vt:i4>5</vt:i4>
      </vt:variant>
      <vt:variant>
        <vt:lpwstr>mailto:m.lischi@comune.collesalvetti.li.it</vt:lpwstr>
      </vt:variant>
      <vt:variant>
        <vt:lpwstr/>
      </vt:variant>
      <vt:variant>
        <vt:i4>1507339</vt:i4>
      </vt:variant>
      <vt:variant>
        <vt:i4>9</vt:i4>
      </vt:variant>
      <vt:variant>
        <vt:i4>0</vt:i4>
      </vt:variant>
      <vt:variant>
        <vt:i4>5</vt:i4>
      </vt:variant>
      <vt:variant>
        <vt:lpwstr>http://www.regione.toscana.it/economiaefinanza/appalti/index.htm</vt:lpwstr>
      </vt:variant>
      <vt:variant>
        <vt:lpwstr/>
      </vt:variant>
      <vt:variant>
        <vt:i4>1376275</vt:i4>
      </vt:variant>
      <vt:variant>
        <vt:i4>6</vt:i4>
      </vt:variant>
      <vt:variant>
        <vt:i4>0</vt:i4>
      </vt:variant>
      <vt:variant>
        <vt:i4>5</vt:i4>
      </vt:variant>
      <vt:variant>
        <vt:lpwstr>http://www.comune.collesalvetti.li.it/site/home/accedo-a.../gare---profilo-di-committente/lavori.html</vt:lpwstr>
      </vt:variant>
      <vt:variant>
        <vt:lpwstr/>
      </vt:variant>
      <vt:variant>
        <vt:i4>6881401</vt:i4>
      </vt:variant>
      <vt:variant>
        <vt:i4>3</vt:i4>
      </vt:variant>
      <vt:variant>
        <vt:i4>0</vt:i4>
      </vt:variant>
      <vt:variant>
        <vt:i4>5</vt:i4>
      </vt:variant>
      <vt:variant>
        <vt:lpwstr>http://www.comune.collesalvetti.li.it/</vt:lpwstr>
      </vt:variant>
      <vt:variant>
        <vt:lpwstr/>
      </vt:variant>
      <vt:variant>
        <vt:i4>7143426</vt:i4>
      </vt:variant>
      <vt:variant>
        <vt:i4>0</vt:i4>
      </vt:variant>
      <vt:variant>
        <vt:i4>0</vt:i4>
      </vt:variant>
      <vt:variant>
        <vt:i4>5</vt:i4>
      </vt:variant>
      <vt:variant>
        <vt:lpwstr>mailto:infopleiade@i-faber.com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f.gagliardi</dc:creator>
  <cp:lastModifiedBy>s.dallavalle</cp:lastModifiedBy>
  <cp:revision>10</cp:revision>
  <cp:lastPrinted>2016-11-11T10:23:00Z</cp:lastPrinted>
  <dcterms:created xsi:type="dcterms:W3CDTF">2017-06-27T09:36:00Z</dcterms:created>
  <dcterms:modified xsi:type="dcterms:W3CDTF">2017-10-12T08:38:00Z</dcterms:modified>
</cp:coreProperties>
</file>