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72" w:rsidRDefault="00166872" w:rsidP="00487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W w:w="1003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8"/>
        <w:gridCol w:w="4407"/>
        <w:gridCol w:w="1844"/>
        <w:gridCol w:w="2836"/>
      </w:tblGrid>
      <w:tr w:rsidR="00166872" w:rsidTr="00273B28">
        <w:trPr>
          <w:trHeight w:val="1247"/>
        </w:trPr>
        <w:tc>
          <w:tcPr>
            <w:tcW w:w="948" w:type="dxa"/>
            <w:shd w:val="clear" w:color="auto" w:fill="FFFFFF"/>
            <w:hideMark/>
          </w:tcPr>
          <w:tbl>
            <w:tblPr>
              <w:tblW w:w="10035" w:type="dxa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48"/>
              <w:gridCol w:w="4407"/>
              <w:gridCol w:w="1844"/>
              <w:gridCol w:w="2836"/>
            </w:tblGrid>
            <w:tr w:rsidR="00166872" w:rsidTr="00273B28">
              <w:trPr>
                <w:trHeight w:val="1247"/>
              </w:trPr>
              <w:tc>
                <w:tcPr>
                  <w:tcW w:w="948" w:type="dxa"/>
                  <w:shd w:val="clear" w:color="auto" w:fill="FFFFFF"/>
                  <w:hideMark/>
                </w:tcPr>
                <w:tbl>
                  <w:tblPr>
                    <w:tblW w:w="9762" w:type="dxa"/>
                    <w:shd w:val="clear" w:color="auto" w:fill="FFFFFF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4407"/>
                    <w:gridCol w:w="1844"/>
                    <w:gridCol w:w="2836"/>
                  </w:tblGrid>
                  <w:tr w:rsidR="00166872" w:rsidTr="00273B28">
                    <w:trPr>
                      <w:trHeight w:val="1247"/>
                    </w:trPr>
                    <w:tc>
                      <w:tcPr>
                        <w:tcW w:w="675" w:type="dxa"/>
                        <w:shd w:val="clear" w:color="auto" w:fill="FFFFFF"/>
                        <w:hideMark/>
                      </w:tcPr>
                      <w:p w:rsidR="00166872" w:rsidRDefault="00166872" w:rsidP="00273B28">
                        <w:pPr>
                          <w:pStyle w:val="Intestazione"/>
                          <w:tabs>
                            <w:tab w:val="left" w:pos="7800"/>
                          </w:tabs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>
                                  <wp:simplePos x="0" y="0"/>
                                  <wp:positionH relativeFrom="column">
                                    <wp:posOffset>99060</wp:posOffset>
                                  </wp:positionH>
                                  <wp:positionV relativeFrom="paragraph">
                                    <wp:posOffset>139065</wp:posOffset>
                                  </wp:positionV>
                                  <wp:extent cx="709930" cy="889000"/>
                                  <wp:effectExtent l="0" t="0" r="0" b="6350"/>
                                  <wp:wrapNone/>
                                  <wp:docPr id="10" name="Text Box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09930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66872" w:rsidRDefault="00166872" w:rsidP="00166872">
                                              <w:r>
                                                <w:rPr>
                                                  <w:noProof/>
                                                  <w:lang w:eastAsia="it-IT"/>
                                                </w:rPr>
                                                <w:drawing>
                                                  <wp:inline distT="0" distB="0" distL="0" distR="0" wp14:anchorId="5324B519" wp14:editId="4244653C">
                                                    <wp:extent cx="501015" cy="771525"/>
                                                    <wp:effectExtent l="19050" t="0" r="0" b="0"/>
                                                    <wp:docPr id="17" name="Immagine 17" descr="gonfalone3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7" descr="gonfalone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5"/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501015" cy="77152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noFill/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5" o:spid="_x0000_s1026" type="#_x0000_t202" style="position:absolute;margin-left:7.8pt;margin-top:10.95pt;width:55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" strokecolor="white">
                                  <v:textbox>
                                    <w:txbxContent>
                                      <w:p w:rsidR="00166872" w:rsidRDefault="00166872" w:rsidP="00166872">
                                        <w:r>
                                          <w:rPr>
                                            <w:noProof/>
                                            <w:lang w:eastAsia="it-IT"/>
                                          </w:rPr>
                                          <w:drawing>
                                            <wp:inline distT="0" distB="0" distL="0" distR="0" wp14:anchorId="5324B519" wp14:editId="4244653C">
                                              <wp:extent cx="501015" cy="771525"/>
                                              <wp:effectExtent l="19050" t="0" r="0" b="0"/>
                                              <wp:docPr id="17" name="Immagine 17" descr="gonfalone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7" descr="gonfalone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01015" cy="7715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07" w:type="dxa"/>
                        <w:shd w:val="clear" w:color="auto" w:fill="FFFFFF"/>
                      </w:tcPr>
                      <w:p w:rsidR="00166872" w:rsidRPr="00374CA6" w:rsidRDefault="00166872" w:rsidP="00273B28">
                        <w:pPr>
                          <w:tabs>
                            <w:tab w:val="left" w:pos="1380"/>
                            <w:tab w:val="center" w:pos="4950"/>
                            <w:tab w:val="left" w:pos="9285"/>
                            <w:tab w:val="right" w:pos="10440"/>
                          </w:tabs>
                          <w:ind w:left="-540"/>
                        </w:pPr>
                        <w:r>
                          <w:rPr>
                            <w:noProof/>
                            <w:lang w:eastAsia="it-I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>
                                  <wp:simplePos x="0" y="0"/>
                                  <wp:positionH relativeFrom="column">
                                    <wp:posOffset>601345</wp:posOffset>
                                  </wp:positionH>
                                  <wp:positionV relativeFrom="paragraph">
                                    <wp:posOffset>614045</wp:posOffset>
                                  </wp:positionV>
                                  <wp:extent cx="4114800" cy="352425"/>
                                  <wp:effectExtent l="0" t="0" r="0" b="9525"/>
                                  <wp:wrapNone/>
                                  <wp:docPr id="9" name="Text Box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1148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66872" w:rsidRDefault="00166872" w:rsidP="00166872">
                                              <w:pPr>
                                                <w:ind w:left="-540" w:firstLine="540"/>
                                                <w:jc w:val="center"/>
                                                <w:rPr>
                                                  <w:rFonts w:ascii="AR JULIAN" w:hAnsi="AR JULIAN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 JULIAN" w:hAnsi="AR JULIAN"/>
                                                  <w:sz w:val="36"/>
                                                  <w:szCs w:val="36"/>
                                                </w:rPr>
                                                <w:t>Centrale unica di committenza</w:t>
                                              </w:r>
                                            </w:p>
                                            <w:p w:rsidR="00166872" w:rsidRDefault="00166872" w:rsidP="00166872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4" o:spid="_x0000_s1027" type="#_x0000_t202" style="position:absolute;left:0;text-align:left;margin-left:47.35pt;margin-top:48.35pt;width:32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" strokecolor="white">
                                  <v:textbox>
                                    <w:txbxContent>
                                      <w:p w:rsidR="00166872" w:rsidRDefault="00166872" w:rsidP="00166872">
                                        <w:pPr>
                                          <w:ind w:left="-540" w:firstLine="540"/>
                                          <w:jc w:val="center"/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  <w:t>Centrale unica di committenza</w:t>
                                        </w:r>
                                      </w:p>
                                      <w:p w:rsidR="00166872" w:rsidRDefault="00166872" w:rsidP="00166872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it-I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>
                                  <wp:simplePos x="0" y="0"/>
                                  <wp:positionH relativeFrom="column">
                                    <wp:posOffset>2609850</wp:posOffset>
                                  </wp:positionH>
                                  <wp:positionV relativeFrom="paragraph">
                                    <wp:posOffset>318770</wp:posOffset>
                                  </wp:positionV>
                                  <wp:extent cx="2228215" cy="295275"/>
                                  <wp:effectExtent l="0" t="0" r="635" b="9525"/>
                                  <wp:wrapNone/>
                                  <wp:docPr id="8" name="Text Box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22821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66872" w:rsidRDefault="00166872" w:rsidP="00166872">
                                              <w:pPr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opperplate Gothic Light" w:hAnsi="Copperplate Gothic Light"/>
                                                  <w:b/>
                                                </w:rPr>
                                                <w:t>Comune di Terranuova B.ni ni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3" o:spid="_x0000_s1028" type="#_x0000_t202" style="position:absolute;left:0;text-align:left;margin-left:205.5pt;margin-top:25.1pt;width:175.4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" strokecolor="white">
                                  <v:textbox>
                                    <w:txbxContent>
                                      <w:p w:rsidR="00166872" w:rsidRDefault="00166872" w:rsidP="00166872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Terranuova B.ni ni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it-I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380365</wp:posOffset>
                                  </wp:positionH>
                                  <wp:positionV relativeFrom="paragraph">
                                    <wp:posOffset>318770</wp:posOffset>
                                  </wp:positionV>
                                  <wp:extent cx="2140585" cy="295275"/>
                                  <wp:effectExtent l="0" t="0" r="0" b="9525"/>
                                  <wp:wrapNone/>
                                  <wp:docPr id="7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14058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66872" w:rsidRDefault="00166872" w:rsidP="00166872">
                                              <w:pPr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opperplate Gothic Light" w:hAnsi="Copperplate Gothic Light"/>
                                                  <w:b/>
                                                </w:rPr>
                                                <w:t>Comune di Montevarchi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2" o:spid="_x0000_s1029" type="#_x0000_t202" style="position:absolute;left:0;text-align:left;margin-left:29.95pt;margin-top:25.1pt;width:168.5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" strokecolor="white">
                                  <v:textbox>
                                    <w:txbxContent>
                                      <w:p w:rsidR="00166872" w:rsidRDefault="00166872" w:rsidP="00166872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Montevarchi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t xml:space="preserve">    </w:t>
                        </w:r>
                        <w:r>
                          <w:tab/>
                        </w:r>
                        <w:r>
                          <w:tab/>
                          <w:t xml:space="preserve">                                                                                                                                           </w:t>
                        </w:r>
                        <w:r>
                          <w:object w:dxaOrig="1590" w:dyaOrig="213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47.2pt;height:63.05pt" o:ole="">
                              <v:imagedata r:id="rId6" o:title=""/>
                            </v:shape>
                            <o:OLEObject Type="Embed" ProgID="MSPhotoEd.3" ShapeID="_x0000_i1025" DrawAspect="Content" ObjectID="_1565450294" r:id="rId7"/>
                          </w:object>
                        </w:r>
                        <w:r>
                          <w:t xml:space="preserve">                                                                                             </w:t>
                        </w:r>
                      </w:p>
                      <w:p w:rsidR="00166872" w:rsidRPr="00F25FE9" w:rsidRDefault="00166872" w:rsidP="00273B28">
                        <w:pPr>
                          <w:pStyle w:val="Intestazione"/>
                          <w:tabs>
                            <w:tab w:val="left" w:pos="7800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4" w:type="dxa"/>
                        <w:shd w:val="clear" w:color="auto" w:fill="FFFFFF"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hideMark/>
                      </w:tcPr>
                      <w:p w:rsidR="00166872" w:rsidRDefault="00166872" w:rsidP="00273B28">
                        <w:pPr>
                          <w:pStyle w:val="Intestazione"/>
                          <w:tabs>
                            <w:tab w:val="left" w:pos="7800"/>
                          </w:tabs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836" w:type="dxa"/>
                        <w:shd w:val="clear" w:color="auto" w:fill="FFFFFF"/>
                        <w:hideMark/>
                      </w:tcPr>
                      <w:p w:rsidR="00166872" w:rsidRDefault="00166872" w:rsidP="00273B28">
                        <w:pPr>
                          <w:pStyle w:val="Intestazione"/>
                          <w:tabs>
                            <w:tab w:val="left" w:pos="7800"/>
                          </w:tabs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>
                                  <wp:simplePos x="0" y="0"/>
                                  <wp:positionH relativeFrom="column">
                                    <wp:posOffset>975360</wp:posOffset>
                                  </wp:positionH>
                                  <wp:positionV relativeFrom="paragraph">
                                    <wp:posOffset>259715</wp:posOffset>
                                  </wp:positionV>
                                  <wp:extent cx="783590" cy="1044575"/>
                                  <wp:effectExtent l="0" t="0" r="0" b="3810"/>
                                  <wp:wrapNone/>
                                  <wp:docPr id="6" name="Text Box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83590" cy="104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66872" w:rsidRDefault="00166872" w:rsidP="00166872">
                                              <w:r w:rsidRPr="009858CD">
                                                <w:object w:dxaOrig="1590" w:dyaOrig="2130">
                                                  <v:shape id="_x0000_i1027" type="#_x0000_t75" style="width:46.5pt;height:62.3pt" o:ole="">
                                                    <v:imagedata r:id="rId6" o:title=""/>
                                                  </v:shape>
                                                  <o:OLEObject Type="Embed" ProgID="MSPhotoEd.3" ShapeID="_x0000_i1027" DrawAspect="Content" ObjectID="_1565450295" r:id="rId8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6" o:spid="_x0000_s1030" type="#_x0000_t202" style="position:absolute;margin-left:76.8pt;margin-top:20.45pt;width:61.7pt;height:82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" strokecolor="white">
                                  <v:textbox style="mso-fit-shape-to-text:t">
                                    <w:txbxContent>
                                      <w:p w:rsidR="00166872" w:rsidRDefault="00166872" w:rsidP="00166872">
                                        <w:r w:rsidRPr="009858CD">
                                          <w:object w:dxaOrig="1590" w:dyaOrig="2130">
                                            <v:shape id="_x0000_i1027" type="#_x0000_t75" style="width:46.5pt;height:62.3pt" o:ole="">
                                              <v:imagedata r:id="rId6" o:title=""/>
                                            </v:shape>
                                            <o:OLEObject Type="Embed" ProgID="MSPhotoEd.3" ShapeID="_x0000_i1027" DrawAspect="Content" ObjectID="_1565450295" r:id="rId9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166872" w:rsidRDefault="00166872" w:rsidP="00273B28">
                  <w:pPr>
                    <w:pStyle w:val="Intestazione"/>
                    <w:tabs>
                      <w:tab w:val="left" w:pos="7800"/>
                    </w:tabs>
                  </w:pPr>
                </w:p>
              </w:tc>
              <w:tc>
                <w:tcPr>
                  <w:tcW w:w="4405" w:type="dxa"/>
                  <w:shd w:val="clear" w:color="auto" w:fill="FFFFFF"/>
                </w:tcPr>
                <w:p w:rsidR="00166872" w:rsidRPr="00F25FE9" w:rsidRDefault="00166872" w:rsidP="00273B28">
                  <w:pPr>
                    <w:pStyle w:val="Intestazione"/>
                    <w:tabs>
                      <w:tab w:val="left" w:pos="780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166872" w:rsidRDefault="00166872" w:rsidP="00273B28">
                  <w:pPr>
                    <w:pStyle w:val="Intestazione"/>
                    <w:tabs>
                      <w:tab w:val="left" w:pos="7800"/>
                    </w:tabs>
                    <w:jc w:val="center"/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:rsidR="00166872" w:rsidRDefault="00166872" w:rsidP="00273B28">
                  <w:pPr>
                    <w:pStyle w:val="Intestazione"/>
                    <w:tabs>
                      <w:tab w:val="left" w:pos="7800"/>
                    </w:tabs>
                    <w:rPr>
                      <w:rFonts w:ascii="Century Gothic" w:hAnsi="Century Gothic"/>
                      <w:sz w:val="12"/>
                      <w:szCs w:val="12"/>
                    </w:rPr>
                  </w:pPr>
                </w:p>
              </w:tc>
            </w:tr>
          </w:tbl>
          <w:p w:rsidR="00166872" w:rsidRDefault="00166872" w:rsidP="00273B28">
            <w:pPr>
              <w:pStyle w:val="Intestazione"/>
              <w:tabs>
                <w:tab w:val="left" w:pos="7800"/>
              </w:tabs>
            </w:pPr>
          </w:p>
        </w:tc>
        <w:tc>
          <w:tcPr>
            <w:tcW w:w="4405" w:type="dxa"/>
            <w:shd w:val="clear" w:color="auto" w:fill="FFFFFF"/>
          </w:tcPr>
          <w:p w:rsidR="00166872" w:rsidRDefault="00166872" w:rsidP="00273B28">
            <w:pPr>
              <w:pStyle w:val="Intestazione"/>
              <w:tabs>
                <w:tab w:val="left" w:pos="7800"/>
              </w:tabs>
              <w:jc w:val="center"/>
              <w:rPr>
                <w:rFonts w:ascii="Century Gothic" w:hAnsi="Century Gothic"/>
                <w:b/>
              </w:rPr>
            </w:pPr>
          </w:p>
          <w:p w:rsidR="00166872" w:rsidRPr="00D52563" w:rsidRDefault="00166872" w:rsidP="00273B28"/>
          <w:p w:rsidR="00166872" w:rsidRPr="00D52563" w:rsidRDefault="00166872" w:rsidP="00273B28"/>
        </w:tc>
        <w:tc>
          <w:tcPr>
            <w:tcW w:w="184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6872" w:rsidRDefault="00166872" w:rsidP="00273B28">
            <w:pPr>
              <w:pStyle w:val="Intestazione"/>
              <w:tabs>
                <w:tab w:val="left" w:pos="7800"/>
              </w:tabs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:rsidR="00166872" w:rsidRDefault="00166872" w:rsidP="00273B28">
            <w:pPr>
              <w:pStyle w:val="Intestazione"/>
              <w:tabs>
                <w:tab w:val="left" w:pos="7800"/>
              </w:tabs>
              <w:spacing w:before="0" w:after="0"/>
              <w:rPr>
                <w:rFonts w:ascii="Century Gothic" w:hAnsi="Century Gothic"/>
                <w:sz w:val="12"/>
                <w:szCs w:val="12"/>
              </w:rPr>
            </w:pPr>
          </w:p>
        </w:tc>
      </w:tr>
    </w:tbl>
    <w:p w:rsidR="00166872" w:rsidRDefault="00166872" w:rsidP="00487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0C7DF0" w:rsidRPr="00CD5DB9" w:rsidRDefault="000C7DF0" w:rsidP="000C7D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hAnsi="Times New Roman"/>
          <w:b/>
          <w:bCs/>
          <w:sz w:val="22"/>
          <w:szCs w:val="22"/>
        </w:rPr>
      </w:pPr>
      <w:bookmarkStart w:id="0" w:name="OLE_LINK6"/>
      <w:r w:rsidRPr="00CD5DB9">
        <w:rPr>
          <w:rFonts w:hAnsi="Times New Roman"/>
          <w:b/>
          <w:bCs/>
          <w:sz w:val="22"/>
          <w:szCs w:val="22"/>
        </w:rPr>
        <w:t xml:space="preserve">PROCEDURA   </w:t>
      </w:r>
      <w:bookmarkEnd w:id="0"/>
      <w:r w:rsidRPr="00CD5DB9">
        <w:rPr>
          <w:rFonts w:hAnsi="Times New Roman"/>
          <w:b/>
          <w:bCs/>
          <w:sz w:val="22"/>
          <w:szCs w:val="22"/>
        </w:rPr>
        <w:t>APERTA ESPLETATA IN MODALITA’ TEL</w:t>
      </w:r>
      <w:r>
        <w:rPr>
          <w:b/>
          <w:bCs/>
          <w:sz w:val="22"/>
          <w:szCs w:val="22"/>
        </w:rPr>
        <w:t>E</w:t>
      </w:r>
      <w:r w:rsidRPr="00CD5DB9">
        <w:rPr>
          <w:rFonts w:hAnsi="Times New Roman"/>
          <w:b/>
          <w:bCs/>
          <w:sz w:val="22"/>
          <w:szCs w:val="22"/>
        </w:rPr>
        <w:t xml:space="preserve">MATICA PER L’AFFIDAMENTO DEI SERVIZI DI   PREPARAZIONE </w:t>
      </w:r>
      <w:r w:rsidRPr="00CD5DB9">
        <w:rPr>
          <w:b/>
          <w:bCs/>
          <w:sz w:val="22"/>
          <w:szCs w:val="22"/>
        </w:rPr>
        <w:t>E SOMMINISTRAZIONE</w:t>
      </w:r>
      <w:r w:rsidRPr="00CD5DB9">
        <w:rPr>
          <w:rFonts w:hAnsi="Times New Roman"/>
          <w:b/>
          <w:bCs/>
          <w:sz w:val="22"/>
          <w:szCs w:val="22"/>
        </w:rPr>
        <w:t xml:space="preserve"> PASTI E SERVIZIO DI PULIZIA A RIDOTTO IMPATTO AMBIENTALE PRESSO I NIDI D’INFANZIA COMUNALI (01/01/2018 – 31/08/2020) – CIG: </w:t>
      </w:r>
      <w:r w:rsidRPr="00CD5DB9">
        <w:rPr>
          <w:rStyle w:val="Enfasigrassetto"/>
          <w:rFonts w:hAnsi="Times New Roman"/>
          <w:sz w:val="22"/>
          <w:szCs w:val="22"/>
        </w:rPr>
        <w:t>71861327B8</w:t>
      </w:r>
    </w:p>
    <w:p w:rsidR="004249C4" w:rsidRDefault="004249C4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  <w:bookmarkStart w:id="1" w:name="_GoBack"/>
      <w:bookmarkEnd w:id="1"/>
    </w:p>
    <w:p w:rsidR="00166872" w:rsidRDefault="00166872" w:rsidP="00166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 xml:space="preserve">Modulo </w:t>
      </w:r>
      <w:r w:rsidRPr="008C7883">
        <w:rPr>
          <w:rFonts w:ascii="Times New Roman" w:hAnsi="Times New Roman" w:cs="Times New Roman"/>
          <w:b/>
          <w:bCs/>
          <w:sz w:val="32"/>
          <w:szCs w:val="36"/>
        </w:rPr>
        <w:t>ALL</w:t>
      </w:r>
      <w:r>
        <w:rPr>
          <w:rFonts w:ascii="Times New Roman" w:hAnsi="Times New Roman" w:cs="Times New Roman"/>
          <w:b/>
          <w:bCs/>
          <w:sz w:val="32"/>
          <w:szCs w:val="36"/>
        </w:rPr>
        <w:t>.</w:t>
      </w:r>
      <w:r w:rsidRPr="008C7883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6"/>
        </w:rPr>
        <w:t>4</w:t>
      </w:r>
    </w:p>
    <w:p w:rsidR="00166872" w:rsidRPr="004249C4" w:rsidRDefault="00166872" w:rsidP="00166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dichiarazione relativa ai prodotti disinfettanti detergenti superconcentrati multiuso, per servizi sanitari e per finestre e prodotti per l’igiene per usi specifici (es. smacchiatori, disinchiostranti, deceranti ...) </w:t>
      </w:r>
    </w:p>
    <w:p w:rsidR="00166872" w:rsidRDefault="00166872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:rsidR="00166872" w:rsidRDefault="00166872" w:rsidP="00166872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il sottoscritto ___________________________________________ nato a ________________</w:t>
      </w:r>
    </w:p>
    <w:p w:rsidR="00166872" w:rsidRDefault="00166872" w:rsidP="00166872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il ___________, (C.F.______________________), nella sua qualit</w:t>
      </w:r>
      <w:r>
        <w:rPr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di __________________(*)</w:t>
      </w:r>
    </w:p>
    <w:p w:rsidR="00166872" w:rsidRDefault="00166872" w:rsidP="00166872">
      <w:pPr>
        <w:pStyle w:val="Standard"/>
        <w:spacing w:line="240" w:lineRule="atLeast"/>
        <w:rPr>
          <w:szCs w:val="24"/>
        </w:rPr>
      </w:pPr>
    </w:p>
    <w:p w:rsidR="00166872" w:rsidRDefault="00166872" w:rsidP="00166872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166872" w:rsidRDefault="00166872" w:rsidP="00166872">
      <w:pPr>
        <w:pStyle w:val="Standard"/>
        <w:tabs>
          <w:tab w:val="left" w:pos="720"/>
        </w:tabs>
        <w:spacing w:line="240" w:lineRule="atLeast"/>
        <w:jc w:val="both"/>
        <w:rPr>
          <w:smallCaps/>
          <w:sz w:val="24"/>
          <w:szCs w:val="24"/>
        </w:rPr>
      </w:pPr>
    </w:p>
    <w:p w:rsidR="00166872" w:rsidRDefault="00166872" w:rsidP="00166872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rep.___________ del _________________</w:t>
      </w:r>
    </w:p>
    <w:p w:rsidR="00166872" w:rsidRDefault="00166872" w:rsidP="00166872">
      <w:pPr>
        <w:pStyle w:val="Standard"/>
        <w:spacing w:line="240" w:lineRule="atLeast"/>
        <w:rPr>
          <w:szCs w:val="24"/>
        </w:rPr>
      </w:pPr>
    </w:p>
    <w:p w:rsidR="00166872" w:rsidRDefault="00166872" w:rsidP="00166872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166872" w:rsidRDefault="00166872" w:rsidP="00166872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_______________________________________________________________________________,</w:t>
      </w:r>
    </w:p>
    <w:p w:rsidR="00166872" w:rsidRDefault="00166872" w:rsidP="00166872">
      <w:pPr>
        <w:pStyle w:val="Standard"/>
        <w:spacing w:line="240" w:lineRule="atLeast"/>
        <w:rPr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166872" w:rsidRDefault="00166872" w:rsidP="00166872">
      <w:pPr>
        <w:pStyle w:val="Standard"/>
        <w:rPr>
          <w:sz w:val="24"/>
          <w:szCs w:val="24"/>
        </w:rPr>
      </w:pPr>
    </w:p>
    <w:p w:rsidR="00166872" w:rsidRDefault="00166872" w:rsidP="00166872">
      <w:pPr>
        <w:pStyle w:val="Standard"/>
        <w:rPr>
          <w:szCs w:val="24"/>
        </w:rPr>
      </w:pPr>
      <w:r>
        <w:rPr>
          <w:sz w:val="24"/>
          <w:szCs w:val="24"/>
        </w:rPr>
        <w:t xml:space="preserve"> (*)= Titolare, Legale Rappresentante (altro: Specificare)</w:t>
      </w:r>
    </w:p>
    <w:p w:rsidR="00166872" w:rsidRDefault="00166872" w:rsidP="00166872">
      <w:pPr>
        <w:pStyle w:val="Standard"/>
        <w:rPr>
          <w:szCs w:val="24"/>
        </w:rPr>
      </w:pPr>
    </w:p>
    <w:p w:rsidR="00166872" w:rsidRDefault="00166872" w:rsidP="00166872">
      <w:pPr>
        <w:pStyle w:val="Standard"/>
        <w:jc w:val="center"/>
        <w:rPr>
          <w:szCs w:val="24"/>
        </w:rPr>
      </w:pPr>
      <w:r>
        <w:rPr>
          <w:b/>
          <w:i/>
          <w:sz w:val="24"/>
          <w:szCs w:val="24"/>
        </w:rPr>
        <w:t>AI SENSI DEGLI ART. 46 E 47 DEL DPR 445/2000,</w:t>
      </w:r>
    </w:p>
    <w:p w:rsidR="00166872" w:rsidRDefault="00166872" w:rsidP="00166872">
      <w:pPr>
        <w:pStyle w:val="Standard"/>
        <w:jc w:val="both"/>
        <w:rPr>
          <w:szCs w:val="24"/>
        </w:rPr>
      </w:pPr>
      <w:r>
        <w:rPr>
          <w:smallCaps/>
          <w:sz w:val="22"/>
          <w:szCs w:val="24"/>
        </w:rPr>
        <w:t>consapevole della responsabilit</w:t>
      </w:r>
      <w:r>
        <w:rPr>
          <w:smallCaps/>
          <w:sz w:val="22"/>
          <w:szCs w:val="24"/>
        </w:rPr>
        <w:t>à</w:t>
      </w:r>
      <w:r>
        <w:rPr>
          <w:smallCaps/>
          <w:sz w:val="22"/>
          <w:szCs w:val="24"/>
        </w:rPr>
        <w:t xml:space="preserve"> penale cui pu</w:t>
      </w:r>
      <w:r>
        <w:rPr>
          <w:smallCaps/>
          <w:sz w:val="22"/>
          <w:szCs w:val="24"/>
        </w:rPr>
        <w:t>ò</w:t>
      </w:r>
      <w:r>
        <w:rPr>
          <w:smallCaps/>
          <w:sz w:val="22"/>
          <w:szCs w:val="24"/>
        </w:rPr>
        <w:t xml:space="preserve"> andare incontro nel caso di affermazioni mendaci e delle relative sanzioni penali di cui all</w:t>
      </w:r>
      <w:r>
        <w:rPr>
          <w:smallCaps/>
          <w:sz w:val="22"/>
          <w:szCs w:val="24"/>
        </w:rPr>
        <w:t>’</w:t>
      </w:r>
      <w:r>
        <w:rPr>
          <w:smallCaps/>
          <w:sz w:val="22"/>
          <w:szCs w:val="24"/>
        </w:rPr>
        <w:t xml:space="preserve">art. 76 del DPR  445/2000, </w:t>
      </w:r>
    </w:p>
    <w:p w:rsidR="00166872" w:rsidRDefault="00166872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:rsidR="00166872" w:rsidRPr="00166872" w:rsidRDefault="00166872" w:rsidP="00166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872">
        <w:rPr>
          <w:rFonts w:ascii="Times New Roman" w:hAnsi="Times New Roman" w:cs="Times New Roman"/>
          <w:b/>
          <w:bCs/>
          <w:sz w:val="24"/>
          <w:szCs w:val="24"/>
        </w:rPr>
        <w:t>DICHIARA (</w:t>
      </w:r>
      <w:proofErr w:type="gramStart"/>
      <w:r w:rsidRPr="00166872">
        <w:rPr>
          <w:rFonts w:ascii="Times New Roman" w:hAnsi="Times New Roman" w:cs="Times New Roman"/>
          <w:b/>
          <w:bCs/>
          <w:sz w:val="24"/>
          <w:szCs w:val="24"/>
        </w:rPr>
        <w:t>*)=</w:t>
      </w:r>
      <w:proofErr w:type="gramEnd"/>
      <w:r w:rsidRPr="00166872">
        <w:rPr>
          <w:rFonts w:ascii="Times New Roman" w:hAnsi="Times New Roman" w:cs="Times New Roman"/>
          <w:b/>
          <w:bCs/>
          <w:sz w:val="24"/>
          <w:szCs w:val="24"/>
        </w:rPr>
        <w:t xml:space="preserve"> Vedi Not</w:t>
      </w:r>
      <w:r w:rsidR="00A7390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66872">
        <w:rPr>
          <w:rFonts w:ascii="Times New Roman" w:hAnsi="Times New Roman" w:cs="Times New Roman"/>
          <w:b/>
          <w:bCs/>
          <w:sz w:val="24"/>
          <w:szCs w:val="24"/>
        </w:rPr>
        <w:t xml:space="preserve"> in calce</w:t>
      </w:r>
    </w:p>
    <w:p w:rsidR="00E30147" w:rsidRPr="00F8716F" w:rsidRDefault="004249C4" w:rsidP="00F87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Elenco dei prodotti per l’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igiene: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98"/>
        <w:gridCol w:w="2384"/>
        <w:gridCol w:w="2176"/>
        <w:gridCol w:w="3070"/>
      </w:tblGrid>
      <w:tr w:rsidR="00F8716F" w:rsidRPr="00F8716F" w:rsidTr="00166872">
        <w:tc>
          <w:tcPr>
            <w:tcW w:w="2087" w:type="dxa"/>
            <w:shd w:val="clear" w:color="auto" w:fill="D9D9D9" w:themeFill="background1" w:themeFillShade="D9"/>
          </w:tcPr>
          <w:p w:rsidR="00166872" w:rsidRDefault="00166872" w:rsidP="0016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16F" w:rsidRPr="00166872" w:rsidRDefault="00F8716F" w:rsidP="0016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872">
              <w:rPr>
                <w:rFonts w:ascii="Times New Roman" w:hAnsi="Times New Roman" w:cs="Times New Roman"/>
                <w:b/>
                <w:sz w:val="20"/>
                <w:szCs w:val="20"/>
              </w:rPr>
              <w:t>MARCA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:rsidR="00166872" w:rsidRDefault="00166872" w:rsidP="0016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16F" w:rsidRPr="00166872" w:rsidRDefault="00F8716F" w:rsidP="0016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872">
              <w:rPr>
                <w:rFonts w:ascii="Times New Roman" w:hAnsi="Times New Roman" w:cs="Times New Roman"/>
                <w:b/>
                <w:sz w:val="20"/>
                <w:szCs w:val="20"/>
              </w:rPr>
              <w:t>DENOMINAZIONE</w:t>
            </w:r>
          </w:p>
          <w:p w:rsidR="00F8716F" w:rsidRPr="00166872" w:rsidRDefault="00F8716F" w:rsidP="0016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872">
              <w:rPr>
                <w:rFonts w:ascii="Times New Roman" w:hAnsi="Times New Roman" w:cs="Times New Roman"/>
                <w:b/>
                <w:sz w:val="20"/>
                <w:szCs w:val="20"/>
              </w:rPr>
              <w:t>COMMERCIALE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:rsidR="00F8716F" w:rsidRPr="00166872" w:rsidRDefault="00F8716F" w:rsidP="0016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872">
              <w:rPr>
                <w:rFonts w:ascii="Times New Roman" w:hAnsi="Times New Roman" w:cs="Times New Roman"/>
                <w:b/>
                <w:sz w:val="20"/>
                <w:szCs w:val="20"/>
              </w:rPr>
              <w:t>CATEGORIA (detergente supermercato, disinfettante, “usi specifici” specificare funzione d’uso)</w:t>
            </w:r>
          </w:p>
        </w:tc>
        <w:tc>
          <w:tcPr>
            <w:tcW w:w="3109" w:type="dxa"/>
            <w:shd w:val="clear" w:color="auto" w:fill="D9D9D9" w:themeFill="background1" w:themeFillShade="D9"/>
          </w:tcPr>
          <w:p w:rsidR="00F8716F" w:rsidRPr="00166872" w:rsidRDefault="00F8716F" w:rsidP="0016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872">
              <w:rPr>
                <w:rFonts w:ascii="Times New Roman" w:hAnsi="Times New Roman" w:cs="Times New Roman"/>
                <w:b/>
                <w:sz w:val="20"/>
                <w:szCs w:val="20"/>
              </w:rPr>
              <w:t>Prodotti disinfettanti: indicare n. di registrazione/autorizzazione del Ministero della salute; Prodotti “superconcentrati”: indicare la percentuale di sostanza attiva</w:t>
            </w:r>
          </w:p>
        </w:tc>
      </w:tr>
      <w:tr w:rsidR="00F8716F" w:rsidRPr="00F8716F" w:rsidTr="0060745D">
        <w:tc>
          <w:tcPr>
            <w:tcW w:w="2087" w:type="dxa"/>
          </w:tcPr>
          <w:p w:rsid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Pr="00F8716F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6F" w:rsidRP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Pr="00F8716F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8716F" w:rsidRP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8716F" w:rsidRP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dichiara che le seguenti sostanze o componenti non sono presenti nel prodotto: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alchilfenoletossilati (APEO) e relativi derivati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EDTA (etilendiamminatetracetato) e relativi Sali: limite massimo 3%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NTA (nitrilotricetato): limite massimo 3%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4"/>
        </w:trPr>
        <w:tc>
          <w:tcPr>
            <w:tcW w:w="9854" w:type="dxa"/>
            <w:gridSpan w:val="4"/>
          </w:tcPr>
          <w:p w:rsidR="00726F53" w:rsidRPr="00097579" w:rsidRDefault="00FC5781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6F53">
              <w:rPr>
                <w:rFonts w:ascii="Times New Roman" w:hAnsi="Times New Roman" w:cs="Times New Roman"/>
                <w:sz w:val="24"/>
                <w:szCs w:val="24"/>
              </w:rPr>
              <w:t xml:space="preserve">uschi azotati e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>muschi policiclici, tra cui</w:t>
            </w:r>
            <w:r w:rsidR="00726F53">
              <w:rPr>
                <w:rFonts w:ascii="Times New Roman" w:hAnsi="Times New Roman" w:cs="Times New Roman"/>
                <w:sz w:val="24"/>
                <w:szCs w:val="24"/>
              </w:rPr>
              <w:t xml:space="preserve"> ad esempio: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>muschio</w:t>
            </w:r>
            <w:r w:rsidR="00726F53">
              <w:rPr>
                <w:rFonts w:ascii="Times New Roman" w:hAnsi="Times New Roman" w:cs="Times New Roman"/>
                <w:sz w:val="24"/>
                <w:szCs w:val="24"/>
              </w:rPr>
              <w:t xml:space="preserve"> xilene: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>5-ter-butil-2,4,6-trinitro-m-</w:t>
            </w:r>
          </w:p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xilene; muschio di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ambretta: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4-ter-buti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l-3-metossi-2,6-dinitrotoluene;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moschene: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1,1,3,3,5-pentametil-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4,6-dinitroindano;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muschio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tibetina: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1-ter-butil-3,4,5-trimetil-2,6-dinitrobenzene; muschiochetone: 4-ter-butil-2,6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-dimetil-3,5-dinitroacetafenone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HHCB (1,3,4,6,7,8-esaidro-4,6,6,7,8,8-esametilciclopenta(g)-2-benzopirano)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AHTN (6-acetil-1,1,2,4,4,7-esametiltetralina)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2-Bromo-2-nitropropane-1,3-dio*l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Diazolidinilurea*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Formaldeide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N- (idrossimetil) glicinato di sodio HHCB*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726F53" w:rsidRDefault="005466AC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sostanze ammissibili fino al giugno 2013; a decorrere da tale data dovranno essere escluse tutte le sostanze indicate in tabella  </w:t>
            </w:r>
          </w:p>
        </w:tc>
      </w:tr>
      <w:tr w:rsidR="0060745D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60745D" w:rsidRDefault="0060745D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872">
              <w:rPr>
                <w:rFonts w:ascii="Times New Roman" w:hAnsi="Times New Roman" w:cs="Times New Roman"/>
                <w:b/>
                <w:sz w:val="24"/>
                <w:szCs w:val="24"/>
              </w:rPr>
              <w:t>dichiara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 la conformità dei prodotti ai criteri ambiental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minimi </w:t>
            </w:r>
            <w:hyperlink r:id="rId10" w:anchor="10" w:history="1">
              <w:r w:rsidR="004249C4" w:rsidRPr="008C7883">
                <w:rPr>
                  <w:rFonts w:ascii="Times New Roman" w:hAnsi="Times New Roman" w:cs="Times New Roman"/>
                  <w:i/>
                  <w:sz w:val="24"/>
                  <w:szCs w:val="24"/>
                </w:rPr>
                <w:t>Pulizia e prodotti per l’igiene</w:t>
              </w:r>
            </w:hyperlink>
            <w:r w:rsidR="004249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 cui al punto 6.2.2 “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Biodegradabilità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dei tensioattivi”, al punto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.2.4 “Detergenti superconcentrati e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prodotti per usi  specifici: sostanze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biocide”; al punto 6.2.6 “Fragranze”; 6.2.7 “Fosforo”; 6.2.8 “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Detergenti superconcentrati e prodotti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usi specifici: concentrazion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di composti organici volatili”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; 6.2.9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“Requisito dell’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imballaggio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5F6A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B85F6A" w:rsidRPr="00097579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872">
              <w:rPr>
                <w:rFonts w:ascii="Times New Roman" w:hAnsi="Times New Roman" w:cs="Times New Roman"/>
                <w:b/>
                <w:sz w:val="24"/>
                <w:szCs w:val="24"/>
              </w:rPr>
              <w:t>dichiara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che il prodotto non è classificato né contiene ingredienti classificati con le frasi di rischio o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indicazioni di pericolo T(gas)+R26/Acute tox 2 H330;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T+R26(vapori)/Acute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tox 1  H330;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T+R26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(polvere/nebbia)/Acute tox 2 H330;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T+  R27/Acute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tox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1 H310;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T+R28/Acute  tox 2  H300;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R23(gas)/Acute tox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3 H331;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R23(polvere/nebbia)/Acute tox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3 H311;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 R24/Acute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tox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3 H331; 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R25/Acute tox 3 H301  </w:t>
            </w:r>
          </w:p>
        </w:tc>
      </w:tr>
      <w:tr w:rsidR="00B85F6A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Dichiarazione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conformità al criterio 6.2.3</w:t>
            </w: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punto 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6872" w:rsidRPr="0016687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166872">
              <w:rPr>
                <w:rFonts w:ascii="Times New Roman" w:hAnsi="Times New Roman" w:cs="Times New Roman"/>
                <w:b/>
                <w:sz w:val="24"/>
                <w:szCs w:val="24"/>
              </w:rPr>
              <w:t>ichiara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che il prodotto detergente</w:t>
            </w:r>
            <w:r w:rsidR="0048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superconcentrato/disinfettante/per usi specifici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contiene ingredienti (sostanze o preparati)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classificati o classificabili con una delle seguenti frasi di rischio o con le indicazioni di pericolo (o 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combinazione delle stesse), riportate nel seguito (specificare): </w:t>
            </w: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F6A" w:rsidRPr="00B9398E" w:rsidRDefault="00B85F6A" w:rsidP="00B93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D05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4F4D05" w:rsidRPr="009A5F2E" w:rsidRDefault="004F4D05" w:rsidP="004F4D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dichiara che il prodotto non presenta le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anze elencate in conformità all’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art. 59, paragrafo 1,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Regolamento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(CE) n.1907/2006,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ovvero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sostanze identificate come estremamente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problematiche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iscritte nell’elenco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entro la data di pubblicazione del bando di gara o entro</w:t>
            </w:r>
            <w:r w:rsidR="004249C4">
              <w:rPr>
                <w:rFonts w:ascii="Times New Roman" w:hAnsi="Times New Roman" w:cs="Times New Roman"/>
                <w:sz w:val="24"/>
                <w:szCs w:val="24"/>
              </w:rPr>
              <w:t xml:space="preserve"> la 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richiesta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d’offerta.</w:t>
            </w:r>
          </w:p>
        </w:tc>
      </w:tr>
    </w:tbl>
    <w:p w:rsidR="00F8716F" w:rsidRDefault="009A5F2E" w:rsidP="00F51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5F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9398E" w:rsidRDefault="00B9398E" w:rsidP="00B9398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</w:t>
      </w:r>
    </w:p>
    <w:p w:rsidR="00B9398E" w:rsidRDefault="00B9398E" w:rsidP="00B9398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Luogo____________                                           Firma (digitale)</w:t>
      </w:r>
    </w:p>
    <w:p w:rsidR="00B9398E" w:rsidRDefault="00B9398E" w:rsidP="00F51C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6872" w:rsidRPr="00166872" w:rsidRDefault="00166872" w:rsidP="00166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8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Note: </w:t>
      </w:r>
    </w:p>
    <w:p w:rsidR="00166872" w:rsidRDefault="00166872" w:rsidP="00166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872" w:rsidRPr="00F8716F" w:rsidRDefault="00166872" w:rsidP="00166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in relazione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8716F">
        <w:rPr>
          <w:rFonts w:ascii="Times New Roman" w:hAnsi="Times New Roman" w:cs="Times New Roman"/>
          <w:sz w:val="24"/>
          <w:szCs w:val="24"/>
        </w:rPr>
        <w:t xml:space="preserve"> ciascun prodotto superconcentrato,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disinfettante o per usi specifici che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Pr="00F8716F">
        <w:rPr>
          <w:rFonts w:ascii="Times New Roman" w:hAnsi="Times New Roman" w:cs="Times New Roman"/>
          <w:sz w:val="24"/>
          <w:szCs w:val="24"/>
        </w:rPr>
        <w:t xml:space="preserve"> impegna ad utilizzare</w:t>
      </w:r>
      <w:r>
        <w:rPr>
          <w:rFonts w:ascii="Times New Roman" w:hAnsi="Times New Roman" w:cs="Times New Roman"/>
          <w:sz w:val="24"/>
          <w:szCs w:val="24"/>
        </w:rPr>
        <w:t xml:space="preserve"> nell’</w:t>
      </w:r>
      <w:r w:rsidRPr="00F8716F">
        <w:rPr>
          <w:rFonts w:ascii="Times New Roman" w:hAnsi="Times New Roman" w:cs="Times New Roman"/>
          <w:sz w:val="24"/>
          <w:szCs w:val="24"/>
        </w:rPr>
        <w:t>ambito delle pulizie periodiche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traordinarie, il concorrente dovrà allegare,</w:t>
      </w:r>
      <w:r w:rsidRPr="00F8716F">
        <w:rPr>
          <w:rFonts w:ascii="Times New Roman" w:hAnsi="Times New Roman" w:cs="Times New Roman"/>
          <w:sz w:val="24"/>
          <w:szCs w:val="24"/>
        </w:rPr>
        <w:t xml:space="preserve"> sulla base dei dati che dovranno essere acquisiti dai produttori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F8716F">
        <w:rPr>
          <w:rFonts w:ascii="Times New Roman" w:hAnsi="Times New Roman" w:cs="Times New Roman"/>
          <w:sz w:val="24"/>
          <w:szCs w:val="24"/>
        </w:rPr>
        <w:t xml:space="preserve"> quelli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riportati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nelle etichette, nelle schede tecniche e di sicurezza dei prodotti stessi, la seguente dichiarazione.</w:t>
      </w:r>
      <w:r>
        <w:rPr>
          <w:rFonts w:ascii="Times New Roman" w:hAnsi="Times New Roman" w:cs="Times New Roman"/>
          <w:sz w:val="24"/>
          <w:szCs w:val="24"/>
        </w:rPr>
        <w:t xml:space="preserve"> L’aggiudicatario </w:t>
      </w:r>
      <w:r w:rsidRPr="000C5F5A">
        <w:rPr>
          <w:rFonts w:ascii="Times New Roman" w:hAnsi="Times New Roman" w:cs="Times New Roman"/>
          <w:sz w:val="24"/>
          <w:szCs w:val="24"/>
        </w:rPr>
        <w:t>prima della stipula del contratto</w:t>
      </w:r>
      <w:r w:rsidRPr="004249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dovrà presentare le etiche</w:t>
      </w:r>
      <w:r>
        <w:rPr>
          <w:rFonts w:ascii="Times New Roman" w:hAnsi="Times New Roman" w:cs="Times New Roman"/>
          <w:sz w:val="24"/>
          <w:szCs w:val="24"/>
        </w:rPr>
        <w:t xml:space="preserve">tte, le schede tecniche e/o di </w:t>
      </w:r>
      <w:r w:rsidRPr="00F8716F">
        <w:rPr>
          <w:rFonts w:ascii="Times New Roman" w:hAnsi="Times New Roman" w:cs="Times New Roman"/>
          <w:sz w:val="24"/>
          <w:szCs w:val="24"/>
        </w:rPr>
        <w:t>sicurezza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prodotti e le altre fonti documentali sulla base dei quali ha compil</w:t>
      </w:r>
      <w:r>
        <w:rPr>
          <w:rFonts w:ascii="Times New Roman" w:hAnsi="Times New Roman" w:cs="Times New Roman"/>
          <w:sz w:val="24"/>
          <w:szCs w:val="24"/>
        </w:rPr>
        <w:t>ato la dichiarazione di cui all’</w:t>
      </w:r>
      <w:r w:rsidRPr="00F8716F">
        <w:rPr>
          <w:rFonts w:ascii="Times New Roman" w:hAnsi="Times New Roman" w:cs="Times New Roman"/>
          <w:sz w:val="24"/>
          <w:szCs w:val="24"/>
        </w:rPr>
        <w:t>allegato</w:t>
      </w:r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Pr="00F8716F">
        <w:rPr>
          <w:rFonts w:ascii="Times New Roman" w:hAnsi="Times New Roman" w:cs="Times New Roman"/>
          <w:sz w:val="24"/>
          <w:szCs w:val="24"/>
        </w:rPr>
        <w:t>La stazione a</w:t>
      </w:r>
      <w:r>
        <w:rPr>
          <w:rFonts w:ascii="Times New Roman" w:hAnsi="Times New Roman" w:cs="Times New Roman"/>
          <w:sz w:val="24"/>
          <w:szCs w:val="24"/>
        </w:rPr>
        <w:t>ppaltante potrà richiedere, all’</w:t>
      </w:r>
      <w:r w:rsidRPr="00F8716F">
        <w:rPr>
          <w:rFonts w:ascii="Times New Roman" w:hAnsi="Times New Roman" w:cs="Times New Roman"/>
          <w:sz w:val="24"/>
          <w:szCs w:val="24"/>
        </w:rPr>
        <w:t>aggiudicatario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5A">
        <w:rPr>
          <w:rFonts w:ascii="Times New Roman" w:hAnsi="Times New Roman" w:cs="Times New Roman"/>
          <w:sz w:val="24"/>
          <w:szCs w:val="24"/>
        </w:rPr>
        <w:t>prima della stipula del contratto</w:t>
      </w:r>
      <w:r w:rsidRPr="00F8716F">
        <w:rPr>
          <w:rFonts w:ascii="Times New Roman" w:hAnsi="Times New Roman" w:cs="Times New Roman"/>
          <w:sz w:val="24"/>
          <w:szCs w:val="24"/>
        </w:rPr>
        <w:t>, per uno o più di tali prodotti,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>un rapporto di prova redatto da un laboratorio accreditato ISO 17025 che attesti la rispondenza degli</w:t>
      </w:r>
      <w:r>
        <w:rPr>
          <w:rFonts w:ascii="Times New Roman" w:hAnsi="Times New Roman" w:cs="Times New Roman"/>
          <w:sz w:val="24"/>
          <w:szCs w:val="24"/>
        </w:rPr>
        <w:t xml:space="preserve"> stessi ai relativi criteri ambientali minimi (specifiche tecniche di cui al punto 6.2 del</w:t>
      </w:r>
      <w:r w:rsidRPr="00F8716F"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6F">
        <w:rPr>
          <w:rFonts w:ascii="Times New Roman" w:hAnsi="Times New Roman" w:cs="Times New Roman"/>
          <w:sz w:val="24"/>
          <w:szCs w:val="24"/>
        </w:rPr>
        <w:t xml:space="preserve">documento).   </w:t>
      </w:r>
    </w:p>
    <w:p w:rsidR="00166872" w:rsidRDefault="00166872" w:rsidP="004249C4">
      <w:pPr>
        <w:autoSpaceDE w:val="0"/>
        <w:jc w:val="both"/>
        <w:rPr>
          <w:rFonts w:eastAsia="Times New Roman" w:cs="Times New Roman"/>
          <w:bCs/>
          <w:i/>
          <w:iCs/>
          <w:u w:val="single"/>
        </w:rPr>
      </w:pPr>
    </w:p>
    <w:p w:rsidR="004249C4" w:rsidRPr="00166872" w:rsidRDefault="004249C4" w:rsidP="004249C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166872">
        <w:rPr>
          <w:rFonts w:ascii="Times New Roman" w:hAnsi="Times New Roman" w:cs="Times New Roman"/>
          <w:b/>
          <w:sz w:val="24"/>
          <w:szCs w:val="24"/>
        </w:rPr>
        <w:t>N.B.</w:t>
      </w:r>
      <w:r w:rsidRPr="00166872">
        <w:rPr>
          <w:rFonts w:ascii="Times New Roman" w:hAnsi="Times New Roman" w:cs="Times New Roman"/>
          <w:sz w:val="24"/>
          <w:szCs w:val="24"/>
        </w:rPr>
        <w:t xml:space="preserve"> Per quanto riguarda i prodotti super-concentrati, sarà necessario allegare anche la documentazione fotografica sui sistemi di dosaggio e diluizione che si intendono adottare per il controllo delle corrette diluizioni.</w:t>
      </w:r>
    </w:p>
    <w:p w:rsidR="00A73909" w:rsidRPr="00A73909" w:rsidRDefault="00A73909" w:rsidP="00A73909">
      <w:pPr>
        <w:rPr>
          <w:b/>
          <w:sz w:val="24"/>
          <w:szCs w:val="24"/>
        </w:rPr>
      </w:pPr>
      <w:r w:rsidRPr="00A73909">
        <w:rPr>
          <w:b/>
          <w:sz w:val="24"/>
          <w:szCs w:val="24"/>
        </w:rPr>
        <w:t xml:space="preserve">ATTENZIONE: </w:t>
      </w:r>
    </w:p>
    <w:p w:rsidR="00F94366" w:rsidRPr="000018B5" w:rsidRDefault="00F94366" w:rsidP="00F94366">
      <w:pPr>
        <w:pStyle w:val="Predefinito"/>
        <w:jc w:val="both"/>
        <w:rPr>
          <w:b/>
          <w:sz w:val="22"/>
          <w:szCs w:val="22"/>
        </w:rPr>
      </w:pPr>
      <w:r w:rsidRPr="000018B5">
        <w:rPr>
          <w:b/>
          <w:sz w:val="22"/>
          <w:szCs w:val="22"/>
        </w:rPr>
        <w:t xml:space="preserve">Il presente Modulo è in formato .doc “aperto ed editabile” ed è quindi “ampliabile” nelle varie “voci” con aggiunte (per mancanza di spazio), di ulteriori dati ritenuti pertinenti, ecc. (sempre nel rispetto di quanto richiesto nel Bando/Disciplinare di gara e di cui alla normativa </w:t>
      </w:r>
      <w:r>
        <w:rPr>
          <w:b/>
          <w:sz w:val="22"/>
          <w:szCs w:val="22"/>
        </w:rPr>
        <w:t>vigente e pertinente</w:t>
      </w:r>
      <w:r w:rsidRPr="000018B5">
        <w:rPr>
          <w:b/>
          <w:sz w:val="22"/>
          <w:szCs w:val="22"/>
        </w:rPr>
        <w:t xml:space="preserve">). </w:t>
      </w:r>
    </w:p>
    <w:p w:rsidR="00F94366" w:rsidRPr="000018B5" w:rsidRDefault="00F94366" w:rsidP="00F94366">
      <w:pPr>
        <w:jc w:val="both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0018B5">
        <w:rPr>
          <w:rFonts w:ascii="Times New Roman" w:eastAsia="Times New Roman" w:hAnsi="Times New Roman" w:cs="Times New Roman"/>
          <w:b/>
          <w:kern w:val="1"/>
          <w:lang w:eastAsia="zh-CN"/>
        </w:rPr>
        <w:t>Al termine dovrà essere sottoscritto con firma digitale, preferibilmente convertito in formato .pdf e ricaricato sul sistema START nell’apposito “spazio”.</w:t>
      </w:r>
    </w:p>
    <w:p w:rsidR="004249C4" w:rsidRPr="004249C4" w:rsidRDefault="004249C4" w:rsidP="00A73909">
      <w:pPr>
        <w:autoSpaceDE w:val="0"/>
        <w:jc w:val="both"/>
        <w:rPr>
          <w:rFonts w:eastAsia="Times New Roman" w:cs="Times New Roman"/>
          <w:bCs/>
          <w:i/>
          <w:iCs/>
        </w:rPr>
      </w:pPr>
    </w:p>
    <w:sectPr w:rsidR="004249C4" w:rsidRPr="004249C4" w:rsidSect="00B20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6F"/>
    <w:rsid w:val="00002BE7"/>
    <w:rsid w:val="00081A30"/>
    <w:rsid w:val="00097579"/>
    <w:rsid w:val="000C5F5A"/>
    <w:rsid w:val="000C7DF0"/>
    <w:rsid w:val="00166872"/>
    <w:rsid w:val="001A3B12"/>
    <w:rsid w:val="004249C4"/>
    <w:rsid w:val="00480A96"/>
    <w:rsid w:val="00487F45"/>
    <w:rsid w:val="004F4D05"/>
    <w:rsid w:val="005466AC"/>
    <w:rsid w:val="005A5C8E"/>
    <w:rsid w:val="0060745D"/>
    <w:rsid w:val="00657646"/>
    <w:rsid w:val="006810DF"/>
    <w:rsid w:val="00726F53"/>
    <w:rsid w:val="008821F9"/>
    <w:rsid w:val="008B4599"/>
    <w:rsid w:val="00975DA0"/>
    <w:rsid w:val="009A5F2E"/>
    <w:rsid w:val="00A653AE"/>
    <w:rsid w:val="00A73909"/>
    <w:rsid w:val="00B20B7B"/>
    <w:rsid w:val="00B85F6A"/>
    <w:rsid w:val="00B9398E"/>
    <w:rsid w:val="00BF3BBF"/>
    <w:rsid w:val="00C02971"/>
    <w:rsid w:val="00CB305C"/>
    <w:rsid w:val="00DB284B"/>
    <w:rsid w:val="00E30147"/>
    <w:rsid w:val="00F17320"/>
    <w:rsid w:val="00F51C60"/>
    <w:rsid w:val="00F8716F"/>
    <w:rsid w:val="00F94366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33816-5F5D-48C7-B5E6-7237A68D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B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next w:val="Corpotesto"/>
    <w:link w:val="IntestazioneCarattere1"/>
    <w:uiPriority w:val="99"/>
    <w:rsid w:val="00166872"/>
    <w:pPr>
      <w:keepNext/>
      <w:widowControl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Microsoft YaHei" w:cs="Arial"/>
      <w:kern w:val="1"/>
      <w:sz w:val="28"/>
      <w:szCs w:val="28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166872"/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66872"/>
    <w:rPr>
      <w:rFonts w:ascii="Arial" w:eastAsia="Times New Roman" w:hAnsi="Microsoft YaHei" w:cs="Arial"/>
      <w:kern w:val="1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68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6872"/>
  </w:style>
  <w:style w:type="paragraph" w:customStyle="1" w:styleId="Standard">
    <w:name w:val="Standard"/>
    <w:uiPriority w:val="99"/>
    <w:rsid w:val="00166872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Arial" w:cs="Times New Roman"/>
      <w:kern w:val="1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8B4599"/>
    <w:rPr>
      <w:b/>
      <w:bCs/>
    </w:rPr>
  </w:style>
  <w:style w:type="paragraph" w:customStyle="1" w:styleId="Predefinito">
    <w:name w:val="Predefinito"/>
    <w:rsid w:val="00F94366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inambiente.it/pagina/criteri-vigor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74D5-0047-49E5-BD7A-4C9ED647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ANG-PC</cp:lastModifiedBy>
  <cp:revision>7</cp:revision>
  <dcterms:created xsi:type="dcterms:W3CDTF">2017-08-28T16:07:00Z</dcterms:created>
  <dcterms:modified xsi:type="dcterms:W3CDTF">2017-08-28T16:31:00Z</dcterms:modified>
</cp:coreProperties>
</file>