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9C4" w:rsidRPr="00796910" w:rsidRDefault="00796910" w:rsidP="00424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796910">
        <w:rPr>
          <w:rFonts w:ascii="Times New Roman" w:hAnsi="Times New Roman" w:cs="Times New Roman"/>
          <w:b/>
          <w:bCs/>
          <w:sz w:val="32"/>
          <w:szCs w:val="32"/>
        </w:rPr>
        <w:t>PROCEDURA APERTA SVOLTA IN MODALITA’ TELEMATICA PER L’AFFIDAMENTO IN CONCESSIONE DEL SERVIZIO DI REFEZIONE SCOLASTICA DEL COMUNE DI CAPOLONA - CIG: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796910">
        <w:rPr>
          <w:rFonts w:ascii="Times New Roman" w:hAnsi="Times New Roman" w:cs="Times New Roman"/>
          <w:b/>
          <w:bCs/>
          <w:sz w:val="32"/>
          <w:szCs w:val="32"/>
        </w:rPr>
        <w:t>72430165E2</w:t>
      </w:r>
    </w:p>
    <w:p w:rsidR="004249C4" w:rsidRDefault="004249C4" w:rsidP="00F8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6"/>
        </w:rPr>
      </w:pPr>
    </w:p>
    <w:p w:rsidR="00F8716F" w:rsidRPr="004249C4" w:rsidRDefault="00081A30" w:rsidP="00F8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32"/>
        </w:rPr>
      </w:pPr>
      <w:r w:rsidRPr="004249C4">
        <w:rPr>
          <w:rFonts w:ascii="Times New Roman" w:hAnsi="Times New Roman" w:cs="Times New Roman"/>
          <w:b/>
          <w:bCs/>
          <w:sz w:val="32"/>
          <w:szCs w:val="36"/>
        </w:rPr>
        <w:t xml:space="preserve">ALLEGATO </w:t>
      </w:r>
      <w:r w:rsidR="00F8716F" w:rsidRPr="004249C4">
        <w:rPr>
          <w:rFonts w:ascii="Times New Roman" w:hAnsi="Times New Roman" w:cs="Times New Roman"/>
          <w:b/>
          <w:bCs/>
          <w:sz w:val="32"/>
          <w:szCs w:val="36"/>
        </w:rPr>
        <w:t>B</w:t>
      </w:r>
      <w:r w:rsidRPr="004249C4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F8716F" w:rsidRPr="004249C4">
        <w:rPr>
          <w:rFonts w:ascii="Times New Roman" w:hAnsi="Times New Roman" w:cs="Times New Roman"/>
          <w:b/>
          <w:bCs/>
          <w:sz w:val="28"/>
          <w:szCs w:val="32"/>
        </w:rPr>
        <w:t xml:space="preserve">dichiarazione relativa ai prodotti disinfettanti detergenti </w:t>
      </w:r>
      <w:proofErr w:type="spellStart"/>
      <w:r w:rsidR="00F8716F" w:rsidRPr="004249C4">
        <w:rPr>
          <w:rFonts w:ascii="Times New Roman" w:hAnsi="Times New Roman" w:cs="Times New Roman"/>
          <w:b/>
          <w:bCs/>
          <w:sz w:val="28"/>
          <w:szCs w:val="32"/>
        </w:rPr>
        <w:t>superconcentrati</w:t>
      </w:r>
      <w:proofErr w:type="spellEnd"/>
      <w:r w:rsidR="00F8716F" w:rsidRPr="004249C4">
        <w:rPr>
          <w:rFonts w:ascii="Times New Roman" w:hAnsi="Times New Roman" w:cs="Times New Roman"/>
          <w:b/>
          <w:bCs/>
          <w:sz w:val="28"/>
          <w:szCs w:val="32"/>
        </w:rPr>
        <w:t xml:space="preserve"> multiuso, per servizi sanitari e per finestre e prodotti per l’igiene per usi specifici </w:t>
      </w:r>
      <w:r w:rsidR="008821F9" w:rsidRPr="004249C4">
        <w:rPr>
          <w:rFonts w:ascii="Times New Roman" w:hAnsi="Times New Roman" w:cs="Times New Roman"/>
          <w:b/>
          <w:bCs/>
          <w:sz w:val="28"/>
          <w:szCs w:val="32"/>
        </w:rPr>
        <w:t xml:space="preserve">(es. </w:t>
      </w:r>
      <w:r w:rsidR="00F8716F" w:rsidRPr="004249C4">
        <w:rPr>
          <w:rFonts w:ascii="Times New Roman" w:hAnsi="Times New Roman" w:cs="Times New Roman"/>
          <w:b/>
          <w:bCs/>
          <w:sz w:val="28"/>
          <w:szCs w:val="32"/>
        </w:rPr>
        <w:t>smacchiatori, disinch</w:t>
      </w:r>
      <w:r w:rsidR="005A5C8E" w:rsidRPr="004249C4">
        <w:rPr>
          <w:rFonts w:ascii="Times New Roman" w:hAnsi="Times New Roman" w:cs="Times New Roman"/>
          <w:b/>
          <w:bCs/>
          <w:sz w:val="28"/>
          <w:szCs w:val="32"/>
        </w:rPr>
        <w:t xml:space="preserve">iostranti, </w:t>
      </w:r>
      <w:proofErr w:type="spellStart"/>
      <w:r w:rsidR="005A5C8E" w:rsidRPr="004249C4">
        <w:rPr>
          <w:rFonts w:ascii="Times New Roman" w:hAnsi="Times New Roman" w:cs="Times New Roman"/>
          <w:b/>
          <w:bCs/>
          <w:sz w:val="28"/>
          <w:szCs w:val="32"/>
        </w:rPr>
        <w:t>deceranti</w:t>
      </w:r>
      <w:proofErr w:type="spellEnd"/>
      <w:r w:rsidR="005A5C8E" w:rsidRPr="004249C4">
        <w:rPr>
          <w:rFonts w:ascii="Times New Roman" w:hAnsi="Times New Roman" w:cs="Times New Roman"/>
          <w:b/>
          <w:bCs/>
          <w:sz w:val="28"/>
          <w:szCs w:val="32"/>
        </w:rPr>
        <w:t xml:space="preserve"> </w:t>
      </w:r>
      <w:r w:rsidR="00F8716F" w:rsidRPr="004249C4">
        <w:rPr>
          <w:rFonts w:ascii="Times New Roman" w:hAnsi="Times New Roman" w:cs="Times New Roman"/>
          <w:b/>
          <w:bCs/>
          <w:sz w:val="28"/>
          <w:szCs w:val="32"/>
        </w:rPr>
        <w:t xml:space="preserve">...) </w:t>
      </w:r>
    </w:p>
    <w:p w:rsidR="00F8716F" w:rsidRPr="00F8716F" w:rsidRDefault="00F8716F" w:rsidP="00F8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16F" w:rsidRPr="00F8716F" w:rsidRDefault="00975DA0" w:rsidP="00F8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 legale</w:t>
      </w:r>
      <w:r>
        <w:rPr>
          <w:rFonts w:ascii="Times New Roman" w:hAnsi="Times New Roman" w:cs="Times New Roman"/>
          <w:sz w:val="24"/>
          <w:szCs w:val="24"/>
        </w:rPr>
        <w:t xml:space="preserve"> rappresentante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 della ditta offerente in relazione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 ciascun prodotto </w:t>
      </w:r>
      <w:proofErr w:type="spellStart"/>
      <w:r w:rsidR="00F8716F" w:rsidRPr="00F8716F">
        <w:rPr>
          <w:rFonts w:ascii="Times New Roman" w:hAnsi="Times New Roman" w:cs="Times New Roman"/>
          <w:sz w:val="24"/>
          <w:szCs w:val="24"/>
        </w:rPr>
        <w:t>superconcentrato</w:t>
      </w:r>
      <w:proofErr w:type="spellEnd"/>
      <w:r w:rsidR="00F8716F" w:rsidRPr="00F871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16F" w:rsidRPr="00F8716F">
        <w:rPr>
          <w:rFonts w:ascii="Times New Roman" w:hAnsi="Times New Roman" w:cs="Times New Roman"/>
          <w:sz w:val="24"/>
          <w:szCs w:val="24"/>
        </w:rPr>
        <w:t>disinfettante o per usi specifici che</w:t>
      </w:r>
      <w:r>
        <w:rPr>
          <w:rFonts w:ascii="Times New Roman" w:hAnsi="Times New Roman" w:cs="Times New Roman"/>
          <w:sz w:val="24"/>
          <w:szCs w:val="24"/>
        </w:rPr>
        <w:t xml:space="preserve"> si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 impegna ad utilizzare</w:t>
      </w:r>
      <w:r>
        <w:rPr>
          <w:rFonts w:ascii="Times New Roman" w:hAnsi="Times New Roman" w:cs="Times New Roman"/>
          <w:sz w:val="24"/>
          <w:szCs w:val="24"/>
        </w:rPr>
        <w:t xml:space="preserve"> nell’</w:t>
      </w:r>
      <w:r w:rsidR="00F8716F" w:rsidRPr="00F8716F">
        <w:rPr>
          <w:rFonts w:ascii="Times New Roman" w:hAnsi="Times New Roman" w:cs="Times New Roman"/>
          <w:sz w:val="24"/>
          <w:szCs w:val="24"/>
        </w:rPr>
        <w:t>ambito delle pulizie periodiche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16F" w:rsidRPr="00F8716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traordinarie, dovrà allegare,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 sulla base dei dati che dovranno essere acquisiti dai produttori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 quelli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16F" w:rsidRPr="00F8716F">
        <w:rPr>
          <w:rFonts w:ascii="Times New Roman" w:hAnsi="Times New Roman" w:cs="Times New Roman"/>
          <w:sz w:val="24"/>
          <w:szCs w:val="24"/>
        </w:rPr>
        <w:t>riportati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8716F" w:rsidRPr="00F8716F">
        <w:rPr>
          <w:rFonts w:ascii="Times New Roman" w:hAnsi="Times New Roman" w:cs="Times New Roman"/>
          <w:sz w:val="24"/>
          <w:szCs w:val="24"/>
        </w:rPr>
        <w:t>nelle etichette, nelle schede tecniche e di sicurezza dei prodotti stessi, la seguente dichiarazione.</w:t>
      </w:r>
      <w:r w:rsidR="00002BE7">
        <w:rPr>
          <w:rFonts w:ascii="Times New Roman" w:hAnsi="Times New Roman" w:cs="Times New Roman"/>
          <w:sz w:val="24"/>
          <w:szCs w:val="24"/>
        </w:rPr>
        <w:t xml:space="preserve"> L’aggiudicatario</w:t>
      </w:r>
      <w:r w:rsidR="004249C4">
        <w:rPr>
          <w:rFonts w:ascii="Times New Roman" w:hAnsi="Times New Roman" w:cs="Times New Roman"/>
          <w:sz w:val="24"/>
          <w:szCs w:val="24"/>
        </w:rPr>
        <w:t xml:space="preserve"> </w:t>
      </w:r>
      <w:r w:rsidR="004249C4" w:rsidRPr="004249C4">
        <w:rPr>
          <w:rFonts w:ascii="Times New Roman" w:hAnsi="Times New Roman" w:cs="Times New Roman"/>
          <w:color w:val="FF0000"/>
          <w:sz w:val="24"/>
          <w:szCs w:val="24"/>
        </w:rPr>
        <w:t>prima della stipula del contratto</w:t>
      </w:r>
      <w:r w:rsidR="00002BE7" w:rsidRPr="004249C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8716F" w:rsidRPr="00F8716F">
        <w:rPr>
          <w:rFonts w:ascii="Times New Roman" w:hAnsi="Times New Roman" w:cs="Times New Roman"/>
          <w:sz w:val="24"/>
          <w:szCs w:val="24"/>
        </w:rPr>
        <w:t>dovrà presentare le etiche</w:t>
      </w:r>
      <w:r w:rsidR="004249C4">
        <w:rPr>
          <w:rFonts w:ascii="Times New Roman" w:hAnsi="Times New Roman" w:cs="Times New Roman"/>
          <w:sz w:val="24"/>
          <w:szCs w:val="24"/>
        </w:rPr>
        <w:t xml:space="preserve">tte, le schede tecniche e/o di </w:t>
      </w:r>
      <w:r w:rsidR="00F8716F" w:rsidRPr="00F8716F">
        <w:rPr>
          <w:rFonts w:ascii="Times New Roman" w:hAnsi="Times New Roman" w:cs="Times New Roman"/>
          <w:sz w:val="24"/>
          <w:szCs w:val="24"/>
        </w:rPr>
        <w:t>sicurezza dei</w:t>
      </w:r>
      <w:r w:rsidR="00002BE7">
        <w:rPr>
          <w:rFonts w:ascii="Times New Roman" w:hAnsi="Times New Roman" w:cs="Times New Roman"/>
          <w:sz w:val="24"/>
          <w:szCs w:val="24"/>
        </w:rPr>
        <w:t xml:space="preserve"> </w:t>
      </w:r>
      <w:r w:rsidR="00F8716F" w:rsidRPr="00F8716F">
        <w:rPr>
          <w:rFonts w:ascii="Times New Roman" w:hAnsi="Times New Roman" w:cs="Times New Roman"/>
          <w:sz w:val="24"/>
          <w:szCs w:val="24"/>
        </w:rPr>
        <w:t>prodotti e le altre fonti documentali sulla base dei quali ha compil</w:t>
      </w:r>
      <w:r w:rsidR="00002BE7">
        <w:rPr>
          <w:rFonts w:ascii="Times New Roman" w:hAnsi="Times New Roman" w:cs="Times New Roman"/>
          <w:sz w:val="24"/>
          <w:szCs w:val="24"/>
        </w:rPr>
        <w:t>ato la dichiarazione di cui all’</w:t>
      </w:r>
      <w:r w:rsidR="00F8716F" w:rsidRPr="00F8716F">
        <w:rPr>
          <w:rFonts w:ascii="Times New Roman" w:hAnsi="Times New Roman" w:cs="Times New Roman"/>
          <w:sz w:val="24"/>
          <w:szCs w:val="24"/>
        </w:rPr>
        <w:t>allegato</w:t>
      </w:r>
      <w:r w:rsidR="00002BE7">
        <w:rPr>
          <w:rFonts w:ascii="Times New Roman" w:hAnsi="Times New Roman" w:cs="Times New Roman"/>
          <w:sz w:val="24"/>
          <w:szCs w:val="24"/>
        </w:rPr>
        <w:t xml:space="preserve"> B. </w:t>
      </w:r>
      <w:r w:rsidR="00F8716F" w:rsidRPr="00F8716F">
        <w:rPr>
          <w:rFonts w:ascii="Times New Roman" w:hAnsi="Times New Roman" w:cs="Times New Roman"/>
          <w:sz w:val="24"/>
          <w:szCs w:val="24"/>
        </w:rPr>
        <w:t>La stazione a</w:t>
      </w:r>
      <w:r w:rsidR="00002BE7">
        <w:rPr>
          <w:rFonts w:ascii="Times New Roman" w:hAnsi="Times New Roman" w:cs="Times New Roman"/>
          <w:sz w:val="24"/>
          <w:szCs w:val="24"/>
        </w:rPr>
        <w:t>ppaltante potrà richiedere, all’</w:t>
      </w:r>
      <w:r w:rsidR="00F8716F" w:rsidRPr="00F8716F">
        <w:rPr>
          <w:rFonts w:ascii="Times New Roman" w:hAnsi="Times New Roman" w:cs="Times New Roman"/>
          <w:sz w:val="24"/>
          <w:szCs w:val="24"/>
        </w:rPr>
        <w:t>aggiudicatario</w:t>
      </w:r>
      <w:r w:rsidR="004249C4">
        <w:rPr>
          <w:rFonts w:ascii="Times New Roman" w:hAnsi="Times New Roman" w:cs="Times New Roman"/>
          <w:sz w:val="24"/>
          <w:szCs w:val="24"/>
        </w:rPr>
        <w:t xml:space="preserve"> </w:t>
      </w:r>
      <w:r w:rsidR="004249C4" w:rsidRPr="004249C4">
        <w:rPr>
          <w:rFonts w:ascii="Times New Roman" w:hAnsi="Times New Roman" w:cs="Times New Roman"/>
          <w:color w:val="FF0000"/>
          <w:sz w:val="24"/>
          <w:szCs w:val="24"/>
        </w:rPr>
        <w:t>prima della stipula del contratto</w:t>
      </w:r>
      <w:r w:rsidR="00F8716F" w:rsidRPr="00F8716F">
        <w:rPr>
          <w:rFonts w:ascii="Times New Roman" w:hAnsi="Times New Roman" w:cs="Times New Roman"/>
          <w:sz w:val="24"/>
          <w:szCs w:val="24"/>
        </w:rPr>
        <w:t>, per uno o più di tali prodotti,</w:t>
      </w:r>
      <w:r w:rsidR="00002BE7">
        <w:rPr>
          <w:rFonts w:ascii="Times New Roman" w:hAnsi="Times New Roman" w:cs="Times New Roman"/>
          <w:sz w:val="24"/>
          <w:szCs w:val="24"/>
        </w:rPr>
        <w:t xml:space="preserve"> </w:t>
      </w:r>
      <w:r w:rsidR="00F8716F" w:rsidRPr="00F8716F">
        <w:rPr>
          <w:rFonts w:ascii="Times New Roman" w:hAnsi="Times New Roman" w:cs="Times New Roman"/>
          <w:sz w:val="24"/>
          <w:szCs w:val="24"/>
        </w:rPr>
        <w:t>un rapporto di prova redatto da un laboratorio accreditato ISO 17025 che attesti la rispondenza degli</w:t>
      </w:r>
      <w:r w:rsidR="00002BE7">
        <w:rPr>
          <w:rFonts w:ascii="Times New Roman" w:hAnsi="Times New Roman" w:cs="Times New Roman"/>
          <w:sz w:val="24"/>
          <w:szCs w:val="24"/>
        </w:rPr>
        <w:t xml:space="preserve"> stessi ai relativi criteri ambientali minimi</w:t>
      </w:r>
      <w:r w:rsidR="004249C4">
        <w:rPr>
          <w:rFonts w:ascii="Times New Roman" w:hAnsi="Times New Roman" w:cs="Times New Roman"/>
          <w:sz w:val="24"/>
          <w:szCs w:val="24"/>
        </w:rPr>
        <w:t xml:space="preserve"> (specifiche tecniche di cui al</w:t>
      </w:r>
      <w:r w:rsidR="00002BE7">
        <w:rPr>
          <w:rFonts w:ascii="Times New Roman" w:hAnsi="Times New Roman" w:cs="Times New Roman"/>
          <w:sz w:val="24"/>
          <w:szCs w:val="24"/>
        </w:rPr>
        <w:t xml:space="preserve"> punto 6.2 del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 presente</w:t>
      </w:r>
      <w:r w:rsidR="00002BE7">
        <w:rPr>
          <w:rFonts w:ascii="Times New Roman" w:hAnsi="Times New Roman" w:cs="Times New Roman"/>
          <w:sz w:val="24"/>
          <w:szCs w:val="24"/>
        </w:rPr>
        <w:t xml:space="preserve"> 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documento).   </w:t>
      </w:r>
    </w:p>
    <w:p w:rsidR="00F8716F" w:rsidRPr="00F8716F" w:rsidRDefault="00F8716F" w:rsidP="00F871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71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147" w:rsidRPr="00F8716F" w:rsidRDefault="004249C4" w:rsidP="00F871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Elenco dei prodotti per l’</w:t>
      </w:r>
      <w:r w:rsidR="00F8716F" w:rsidRPr="00F8716F">
        <w:rPr>
          <w:rFonts w:ascii="Times New Roman" w:hAnsi="Times New Roman" w:cs="Times New Roman"/>
          <w:sz w:val="24"/>
          <w:szCs w:val="24"/>
        </w:rPr>
        <w:t xml:space="preserve">igiene: 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87"/>
        <w:gridCol w:w="2418"/>
        <w:gridCol w:w="2240"/>
        <w:gridCol w:w="3109"/>
      </w:tblGrid>
      <w:tr w:rsidR="00F8716F" w:rsidRPr="00F8716F" w:rsidTr="0060745D">
        <w:tc>
          <w:tcPr>
            <w:tcW w:w="2087" w:type="dxa"/>
          </w:tcPr>
          <w:p w:rsidR="00F8716F" w:rsidRPr="00F8716F" w:rsidRDefault="00F8716F" w:rsidP="00607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6F">
              <w:rPr>
                <w:rFonts w:ascii="Times New Roman" w:hAnsi="Times New Roman" w:cs="Times New Roman"/>
                <w:b/>
                <w:sz w:val="24"/>
                <w:szCs w:val="24"/>
              </w:rPr>
              <w:t>MARCA</w:t>
            </w:r>
          </w:p>
        </w:tc>
        <w:tc>
          <w:tcPr>
            <w:tcW w:w="2418" w:type="dxa"/>
          </w:tcPr>
          <w:p w:rsidR="00F8716F" w:rsidRPr="00F8716F" w:rsidRDefault="00F8716F" w:rsidP="00607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6F">
              <w:rPr>
                <w:rFonts w:ascii="Times New Roman" w:hAnsi="Times New Roman" w:cs="Times New Roman"/>
                <w:b/>
                <w:sz w:val="24"/>
                <w:szCs w:val="24"/>
              </w:rPr>
              <w:t>DENOMINAZIONE</w:t>
            </w:r>
          </w:p>
          <w:p w:rsidR="00F8716F" w:rsidRPr="00F8716F" w:rsidRDefault="00F8716F" w:rsidP="00607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6F">
              <w:rPr>
                <w:rFonts w:ascii="Times New Roman" w:hAnsi="Times New Roman" w:cs="Times New Roman"/>
                <w:b/>
                <w:sz w:val="24"/>
                <w:szCs w:val="24"/>
              </w:rPr>
              <w:t>COMMERCIALE</w:t>
            </w:r>
          </w:p>
        </w:tc>
        <w:tc>
          <w:tcPr>
            <w:tcW w:w="2240" w:type="dxa"/>
          </w:tcPr>
          <w:p w:rsidR="00F8716F" w:rsidRPr="00F8716F" w:rsidRDefault="00F8716F" w:rsidP="00607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6F">
              <w:rPr>
                <w:rFonts w:ascii="Times New Roman" w:hAnsi="Times New Roman" w:cs="Times New Roman"/>
                <w:b/>
                <w:sz w:val="24"/>
                <w:szCs w:val="24"/>
              </w:rPr>
              <w:t>CATEGORIA (detergente supermercato, disinfettante, “usi specifici” specificare funzione d’uso)</w:t>
            </w:r>
          </w:p>
        </w:tc>
        <w:tc>
          <w:tcPr>
            <w:tcW w:w="3109" w:type="dxa"/>
          </w:tcPr>
          <w:p w:rsidR="00F8716F" w:rsidRPr="00F8716F" w:rsidRDefault="00F8716F" w:rsidP="006074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16F">
              <w:rPr>
                <w:rFonts w:ascii="Times New Roman" w:hAnsi="Times New Roman" w:cs="Times New Roman"/>
                <w:b/>
                <w:sz w:val="24"/>
                <w:szCs w:val="24"/>
              </w:rPr>
              <w:t>Prodotti disinfettanti: indicare n. di registrazione/autorizzazione del Ministero della salute; Prodotti “</w:t>
            </w:r>
            <w:proofErr w:type="spellStart"/>
            <w:r w:rsidRPr="00F8716F">
              <w:rPr>
                <w:rFonts w:ascii="Times New Roman" w:hAnsi="Times New Roman" w:cs="Times New Roman"/>
                <w:b/>
                <w:sz w:val="24"/>
                <w:szCs w:val="24"/>
              </w:rPr>
              <w:t>superconcentrati</w:t>
            </w:r>
            <w:proofErr w:type="spellEnd"/>
            <w:r w:rsidRPr="00F8716F">
              <w:rPr>
                <w:rFonts w:ascii="Times New Roman" w:hAnsi="Times New Roman" w:cs="Times New Roman"/>
                <w:b/>
                <w:sz w:val="24"/>
                <w:szCs w:val="24"/>
              </w:rPr>
              <w:t>”: indicare la percentuale di sostanza attiva</w:t>
            </w:r>
          </w:p>
        </w:tc>
      </w:tr>
      <w:tr w:rsidR="00F8716F" w:rsidRPr="00F8716F" w:rsidTr="0060745D">
        <w:tc>
          <w:tcPr>
            <w:tcW w:w="2087" w:type="dxa"/>
          </w:tcPr>
          <w:p w:rsid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Pr="00F8716F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16F" w:rsidRP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</w:tcPr>
          <w:p w:rsid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971" w:rsidRPr="00F8716F" w:rsidRDefault="00C02971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:rsidR="00F8716F" w:rsidRP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9" w:type="dxa"/>
          </w:tcPr>
          <w:p w:rsidR="00F8716F" w:rsidRPr="00F8716F" w:rsidRDefault="00F8716F" w:rsidP="006074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Si dichiara che le seguenti sostanze o componenti non sono presenti nel prodotto: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alchilfenoletossilati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 (APEO) e relativi derivati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EDTA (</w:t>
            </w: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etilendiamminatetracetato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) e relativi Sali: limite massimo 3%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NTA (</w:t>
            </w: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nitrilotricetato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): limite massimo 3%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254"/>
        </w:trPr>
        <w:tc>
          <w:tcPr>
            <w:tcW w:w="9854" w:type="dxa"/>
            <w:gridSpan w:val="4"/>
          </w:tcPr>
          <w:p w:rsidR="00726F53" w:rsidRPr="00097579" w:rsidRDefault="00FC5781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26F53">
              <w:rPr>
                <w:rFonts w:ascii="Times New Roman" w:hAnsi="Times New Roman" w:cs="Times New Roman"/>
                <w:sz w:val="24"/>
                <w:szCs w:val="24"/>
              </w:rPr>
              <w:t xml:space="preserve">uschi azotati e </w:t>
            </w:r>
            <w:r w:rsidR="00726F53" w:rsidRPr="00097579">
              <w:rPr>
                <w:rFonts w:ascii="Times New Roman" w:hAnsi="Times New Roman" w:cs="Times New Roman"/>
                <w:sz w:val="24"/>
                <w:szCs w:val="24"/>
              </w:rPr>
              <w:t>muschi policiclici, tra cui</w:t>
            </w:r>
            <w:r w:rsidR="00726F53">
              <w:rPr>
                <w:rFonts w:ascii="Times New Roman" w:hAnsi="Times New Roman" w:cs="Times New Roman"/>
                <w:sz w:val="24"/>
                <w:szCs w:val="24"/>
              </w:rPr>
              <w:t xml:space="preserve"> ad esempio: </w:t>
            </w:r>
            <w:r w:rsidR="00726F53" w:rsidRPr="00097579">
              <w:rPr>
                <w:rFonts w:ascii="Times New Roman" w:hAnsi="Times New Roman" w:cs="Times New Roman"/>
                <w:sz w:val="24"/>
                <w:szCs w:val="24"/>
              </w:rPr>
              <w:t>muschio</w:t>
            </w:r>
            <w:r w:rsidR="00726F53">
              <w:rPr>
                <w:rFonts w:ascii="Times New Roman" w:hAnsi="Times New Roman" w:cs="Times New Roman"/>
                <w:sz w:val="24"/>
                <w:szCs w:val="24"/>
              </w:rPr>
              <w:t xml:space="preserve"> xilene: </w:t>
            </w:r>
            <w:r w:rsidR="00726F53" w:rsidRPr="00097579">
              <w:rPr>
                <w:rFonts w:ascii="Times New Roman" w:hAnsi="Times New Roman" w:cs="Times New Roman"/>
                <w:sz w:val="24"/>
                <w:szCs w:val="24"/>
              </w:rPr>
              <w:t>5-ter-butil-2,4,6-trinitro-m-</w:t>
            </w:r>
          </w:p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xilene; muschio di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ambretta: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4-ter-buti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l-3-metossi-2,6-dinitrotoluene; </w:t>
            </w: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moschene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1,1,3,3,5-pentametil-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4,6-dinitroindano;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muschio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tibetina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1-ter-butil-3,4,5-trimetil-2,6-dinitrobenzene; </w:t>
            </w: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muschiochetone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: 4-ter-butil-2,6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-dimetil-3,5-dinitroacetafenone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HHCB (1,3,4,6,7,8-esaidro-4,6,6,7,8,8-esametilciclopenta(g)-2-benzopirano)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AHTN (6-acetil-1,1,2,4,4,7-esametiltetralina)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2-Bromo-2-nitropropane-1,3-dio*l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Diazolidinilurea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Formaldeide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9854" w:type="dxa"/>
            <w:gridSpan w:val="4"/>
          </w:tcPr>
          <w:p w:rsidR="00726F53" w:rsidRDefault="00726F53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N- (</w:t>
            </w: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idrossimetil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glicinato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 di sodio HHCB* </w:t>
            </w:r>
          </w:p>
        </w:tc>
      </w:tr>
      <w:tr w:rsidR="00726F53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9854" w:type="dxa"/>
            <w:gridSpan w:val="4"/>
            <w:tcBorders>
              <w:bottom w:val="single" w:sz="4" w:space="0" w:color="auto"/>
            </w:tcBorders>
          </w:tcPr>
          <w:p w:rsidR="00726F53" w:rsidRDefault="005466AC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 </w:t>
            </w:r>
            <w:r w:rsidR="00726F53"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sostanze ammissibili fino al giugno 2013; a decorrere da tale data dovranno essere escluse tutte le sostanze indicate in tabella  </w:t>
            </w:r>
          </w:p>
        </w:tc>
      </w:tr>
      <w:tr w:rsidR="001A3B12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66"/>
        </w:trPr>
        <w:tc>
          <w:tcPr>
            <w:tcW w:w="9854" w:type="dxa"/>
            <w:gridSpan w:val="4"/>
          </w:tcPr>
          <w:p w:rsidR="001A3B12" w:rsidRDefault="001A3B12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FIRMA </w:t>
            </w:r>
          </w:p>
          <w:p w:rsidR="00480A96" w:rsidRDefault="00480A96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80A96" w:rsidRDefault="00480A96" w:rsidP="00480A9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45D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60745D" w:rsidRDefault="0060745D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dichiara la conformità dei prodotti ai criteri ambiental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minimi </w:t>
            </w:r>
            <w:hyperlink r:id="rId7" w:anchor="10" w:history="1">
              <w:r w:rsidR="004249C4" w:rsidRPr="008C7883">
                <w:rPr>
                  <w:rFonts w:ascii="Times New Roman" w:hAnsi="Times New Roman" w:cs="Times New Roman"/>
                  <w:i/>
                  <w:sz w:val="24"/>
                  <w:szCs w:val="24"/>
                </w:rPr>
                <w:t>Pulizia e prodotti per l’igiene</w:t>
              </w:r>
            </w:hyperlink>
            <w:r w:rsidR="004249C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 cui al punto 6.2.2 “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Biodegradabilità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dei tensioattivi”, al punto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.2.4 “Detergenti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superconcentrati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prodotti per usi  specifici: sostanze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biocide”; al punto 6.2.6 “Fragranze”; 6.2.7 “Fosforo”; 6.2.8 “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Detergenti </w:t>
            </w:r>
            <w:proofErr w:type="spellStart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superconcentrati</w:t>
            </w:r>
            <w:proofErr w:type="spellEnd"/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 e prodotti per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usi specifici: concentrazion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di composti organici volatili”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 xml:space="preserve">; 6.2.9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“Requisito dell’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imballaggio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097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85F6A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B85F6A" w:rsidRDefault="00B85F6A" w:rsidP="00480A96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75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  <w:p w:rsidR="00480A96" w:rsidRPr="00480A96" w:rsidRDefault="00480A96" w:rsidP="00480A96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5F6A" w:rsidRDefault="00B85F6A" w:rsidP="0060745D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F6A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B85F6A" w:rsidRPr="00097579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dichiara che il prodotto non è classificato né contiene ingredienti classificati con le frasi di rischio o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indicazioni di pericolo T(gas)+R26/Acute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H330;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T+R26(vapori)/Acute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  H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330;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T+R26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(polvere/nebbia)/Acute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H330;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T+  R27/Acute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1 H310;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T+R28/Acute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 H300;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R23(gas)/Acute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3 H331;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 R23(polvere/nebbia)/Acute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3 H311;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T R24/Acute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3 H331; 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R25/Acute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H301  </w:t>
            </w:r>
          </w:p>
        </w:tc>
      </w:tr>
      <w:tr w:rsidR="00B85F6A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B85F6A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  <w:p w:rsidR="00B85F6A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6A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F6A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Dichiarazione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</w:t>
            </w: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conformità al criterio 6.2.3</w:t>
            </w: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punto b)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Si dichiara che il prodotto detergente</w:t>
            </w:r>
            <w:r w:rsidR="00480A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superconcentrato</w:t>
            </w:r>
            <w:proofErr w:type="spellEnd"/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/disinfettante/per usi specifici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non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contiene ingredienti (sostanze o preparati)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classificati o classificabili con una delle seguenti frasi di rischio o con le indicazioni di pericolo (o una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combinazione delle stesse), riportate nel seguito (specificare): </w:t>
            </w: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5F6A" w:rsidRPr="00B85F6A" w:rsidRDefault="00B85F6A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F6A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5F6A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5F6A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5F6A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5F6A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85F6A" w:rsidRPr="009A5F2E" w:rsidRDefault="00B85F6A" w:rsidP="00B85F6A">
            <w:pPr>
              <w:autoSpaceDE w:val="0"/>
              <w:autoSpaceDN w:val="0"/>
              <w:adjustRightInd w:val="0"/>
              <w:ind w:left="10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D05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4F4D05" w:rsidRDefault="004F4D05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FIRMA</w:t>
            </w:r>
          </w:p>
          <w:p w:rsidR="00480A96" w:rsidRDefault="00480A96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F4D05" w:rsidRPr="009A5F2E" w:rsidRDefault="004F4D05" w:rsidP="00B85F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D05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4F4D05" w:rsidRPr="009A5F2E" w:rsidRDefault="004F4D05" w:rsidP="004F4D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dichiara che il prodotto non presenta le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sost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anze elencate in conformità all’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art. 59, paragrafo 1, del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Regolamento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(CE) n.1907/2006,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ovvero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>sostanze identificate come estremamente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problematiche 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iscritte nell’elenco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entro la data di pubblicazione del bando di gara o entro</w:t>
            </w:r>
            <w:r w:rsidR="004249C4">
              <w:rPr>
                <w:rFonts w:ascii="Times New Roman" w:hAnsi="Times New Roman" w:cs="Times New Roman"/>
                <w:sz w:val="24"/>
                <w:szCs w:val="24"/>
              </w:rPr>
              <w:t xml:space="preserve"> la data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della</w:t>
            </w:r>
            <w:r w:rsidRPr="009A5F2E">
              <w:rPr>
                <w:rFonts w:ascii="Times New Roman" w:hAnsi="Times New Roman" w:cs="Times New Roman"/>
                <w:sz w:val="24"/>
                <w:szCs w:val="24"/>
              </w:rPr>
              <w:t xml:space="preserve"> richiesta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d’offerta.</w:t>
            </w:r>
          </w:p>
        </w:tc>
      </w:tr>
      <w:tr w:rsidR="004F4D05" w:rsidTr="0060745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9854" w:type="dxa"/>
            <w:gridSpan w:val="4"/>
          </w:tcPr>
          <w:p w:rsidR="004F4D05" w:rsidRPr="004F4D05" w:rsidRDefault="004F4D05" w:rsidP="004F4D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5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FIRMA </w:t>
            </w:r>
          </w:p>
          <w:p w:rsidR="004F4D05" w:rsidRDefault="004F4D05" w:rsidP="004F4D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D05" w:rsidRDefault="004F4D05" w:rsidP="004F4D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716F" w:rsidRDefault="009A5F2E" w:rsidP="00F51C6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A5F2E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</w:t>
      </w:r>
    </w:p>
    <w:p w:rsidR="004249C4" w:rsidRPr="00025C21" w:rsidRDefault="004249C4" w:rsidP="004249C4">
      <w:pPr>
        <w:autoSpaceDE w:val="0"/>
        <w:jc w:val="both"/>
        <w:rPr>
          <w:rFonts w:eastAsia="Times New Roman" w:cs="Times New Roman"/>
          <w:bCs/>
          <w:i/>
          <w:iCs/>
          <w:u w:val="single"/>
        </w:rPr>
      </w:pPr>
      <w:r>
        <w:rPr>
          <w:rFonts w:eastAsia="Times New Roman" w:cs="Times New Roman"/>
          <w:bCs/>
          <w:i/>
          <w:iCs/>
          <w:u w:val="single"/>
        </w:rPr>
        <w:t xml:space="preserve">N.B. </w:t>
      </w:r>
      <w:r w:rsidRPr="000A0F18">
        <w:rPr>
          <w:rFonts w:eastAsia="Times New Roman" w:cs="Times New Roman"/>
          <w:bCs/>
          <w:i/>
          <w:iCs/>
          <w:u w:val="single"/>
        </w:rPr>
        <w:t>Per quanto riguarda i prodotti super-concentrati, sarà necessario allegare anche la documentazione fotografica sui sistemi di dosaggio e diluizione che si intendono adottare per il controllo delle corrette diluizioni.</w:t>
      </w:r>
    </w:p>
    <w:p w:rsidR="004249C4" w:rsidRPr="004249C4" w:rsidRDefault="004249C4" w:rsidP="004249C4">
      <w:pPr>
        <w:autoSpaceDE w:val="0"/>
        <w:jc w:val="both"/>
        <w:rPr>
          <w:rFonts w:eastAsia="Times New Roman" w:cs="Times New Roman"/>
          <w:bCs/>
          <w:i/>
          <w:iCs/>
        </w:rPr>
      </w:pPr>
      <w:r w:rsidRPr="004249C4">
        <w:rPr>
          <w:rFonts w:eastAsia="Times New Roman" w:cs="Times New Roman"/>
          <w:bCs/>
          <w:i/>
          <w:iCs/>
        </w:rPr>
        <w:t xml:space="preserve">Il presente documento deve essere compilato e firmato digitalmente conformemente a quanto prescritto nella </w:t>
      </w:r>
      <w:r w:rsidRPr="00796910">
        <w:rPr>
          <w:rFonts w:eastAsia="Times New Roman" w:cs="Times New Roman"/>
          <w:bCs/>
          <w:i/>
          <w:iCs/>
        </w:rPr>
        <w:t>Lettera d’invito</w:t>
      </w:r>
      <w:r w:rsidRPr="004249C4">
        <w:rPr>
          <w:rFonts w:eastAsia="Times New Roman" w:cs="Times New Roman"/>
          <w:bCs/>
          <w:i/>
          <w:iCs/>
        </w:rPr>
        <w:t xml:space="preserve"> e poi deve essere inserito sulla piatt</w:t>
      </w:r>
      <w:r>
        <w:rPr>
          <w:rFonts w:eastAsia="Times New Roman" w:cs="Times New Roman"/>
          <w:bCs/>
          <w:i/>
          <w:iCs/>
        </w:rPr>
        <w:t>a</w:t>
      </w:r>
      <w:r w:rsidRPr="004249C4">
        <w:rPr>
          <w:rFonts w:eastAsia="Times New Roman" w:cs="Times New Roman"/>
          <w:bCs/>
          <w:i/>
          <w:iCs/>
        </w:rPr>
        <w:t>forma START.</w:t>
      </w:r>
    </w:p>
    <w:sectPr w:rsidR="004249C4" w:rsidRPr="004249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910" w:rsidRDefault="00796910" w:rsidP="00796910">
      <w:pPr>
        <w:spacing w:after="0" w:line="240" w:lineRule="auto"/>
      </w:pPr>
      <w:r>
        <w:separator/>
      </w:r>
    </w:p>
  </w:endnote>
  <w:endnote w:type="continuationSeparator" w:id="0">
    <w:p w:rsidR="00796910" w:rsidRDefault="00796910" w:rsidP="00796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910" w:rsidRDefault="00796910" w:rsidP="00796910">
      <w:pPr>
        <w:spacing w:after="0" w:line="240" w:lineRule="auto"/>
      </w:pPr>
      <w:r>
        <w:separator/>
      </w:r>
    </w:p>
  </w:footnote>
  <w:footnote w:type="continuationSeparator" w:id="0">
    <w:p w:rsidR="00796910" w:rsidRDefault="00796910" w:rsidP="007969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6F"/>
    <w:rsid w:val="00002BE7"/>
    <w:rsid w:val="00081A30"/>
    <w:rsid w:val="00097579"/>
    <w:rsid w:val="001A3B12"/>
    <w:rsid w:val="004249C4"/>
    <w:rsid w:val="00480A96"/>
    <w:rsid w:val="004F4D05"/>
    <w:rsid w:val="005466AC"/>
    <w:rsid w:val="005A5C8E"/>
    <w:rsid w:val="0060745D"/>
    <w:rsid w:val="00726F53"/>
    <w:rsid w:val="00796910"/>
    <w:rsid w:val="008821F9"/>
    <w:rsid w:val="00975DA0"/>
    <w:rsid w:val="009A5F2E"/>
    <w:rsid w:val="00A653AE"/>
    <w:rsid w:val="00B85F6A"/>
    <w:rsid w:val="00C02971"/>
    <w:rsid w:val="00C82103"/>
    <w:rsid w:val="00CB305C"/>
    <w:rsid w:val="00CE42CD"/>
    <w:rsid w:val="00DB284B"/>
    <w:rsid w:val="00E30147"/>
    <w:rsid w:val="00F51C60"/>
    <w:rsid w:val="00F8716F"/>
    <w:rsid w:val="00FC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D08C6"/>
  <w15:docId w15:val="{AFC95D21-F8E7-4388-9DB2-FA8772C5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87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6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910"/>
  </w:style>
  <w:style w:type="paragraph" w:styleId="Pidipagina">
    <w:name w:val="footer"/>
    <w:basedOn w:val="Normale"/>
    <w:link w:val="PidipaginaCarattere"/>
    <w:uiPriority w:val="99"/>
    <w:unhideWhenUsed/>
    <w:rsid w:val="007969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nambiente.it/pagina/criteri-vigor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B378A7-5AA7-4A48-A775-FE72F3CE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gabriele baldi</cp:lastModifiedBy>
  <cp:revision>2</cp:revision>
  <dcterms:created xsi:type="dcterms:W3CDTF">2017-10-25T14:13:00Z</dcterms:created>
  <dcterms:modified xsi:type="dcterms:W3CDTF">2017-10-25T14:13:00Z</dcterms:modified>
</cp:coreProperties>
</file>